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华文中宋" w:hAnsi="华文中宋" w:eastAsia="华文中宋"/>
          <w:sz w:val="36"/>
          <w:szCs w:val="36"/>
        </w:rPr>
      </w:pPr>
      <w:r>
        <w:rPr>
          <w:rFonts w:hint="eastAsia" w:ascii="华文中宋" w:hAnsi="华文中宋" w:eastAsia="华文中宋"/>
          <w:sz w:val="36"/>
          <w:szCs w:val="36"/>
        </w:rPr>
        <w:t>黑龙江工商学院“十三五”发展规划</w:t>
      </w:r>
    </w:p>
    <w:p>
      <w:pPr>
        <w:spacing w:line="276" w:lineRule="auto"/>
        <w:jc w:val="center"/>
        <w:rPr>
          <w:rFonts w:ascii="华文中宋" w:hAnsi="华文中宋" w:eastAsia="华文中宋"/>
          <w:sz w:val="32"/>
          <w:szCs w:val="32"/>
        </w:rPr>
      </w:pPr>
      <w:r>
        <w:rPr>
          <w:rFonts w:hint="eastAsia" w:ascii="华文中宋" w:hAnsi="华文中宋" w:eastAsia="华文中宋"/>
          <w:sz w:val="32"/>
          <w:szCs w:val="32"/>
        </w:rPr>
        <w:t>（2016-2020年）</w:t>
      </w:r>
      <w:bookmarkStart w:id="0" w:name="_GoBack"/>
      <w:bookmarkEnd w:id="0"/>
    </w:p>
    <w:p>
      <w:pPr>
        <w:spacing w:line="276" w:lineRule="auto"/>
        <w:jc w:val="center"/>
        <w:rPr>
          <w:rFonts w:ascii="华文中宋" w:hAnsi="华文中宋" w:eastAsia="华文中宋"/>
          <w:sz w:val="32"/>
          <w:szCs w:val="32"/>
        </w:rPr>
      </w:pPr>
    </w:p>
    <w:p>
      <w:pPr>
        <w:spacing w:line="276" w:lineRule="auto"/>
        <w:jc w:val="center"/>
        <w:rPr>
          <w:rFonts w:ascii="黑体" w:hAnsi="黑体" w:eastAsia="黑体"/>
          <w:sz w:val="28"/>
          <w:szCs w:val="28"/>
        </w:rPr>
      </w:pPr>
      <w:r>
        <w:rPr>
          <w:rFonts w:hint="eastAsia" w:ascii="黑体" w:hAnsi="黑体" w:eastAsia="黑体"/>
          <w:sz w:val="28"/>
          <w:szCs w:val="28"/>
        </w:rPr>
        <w:t>目 录</w:t>
      </w:r>
    </w:p>
    <w:p>
      <w:pPr>
        <w:spacing w:line="276" w:lineRule="auto"/>
        <w:jc w:val="center"/>
        <w:rPr>
          <w:rFonts w:ascii="黑体" w:hAnsi="黑体" w:eastAsia="黑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465" w:charSpace="0"/>
        </w:sectPr>
      </w:pPr>
    </w:p>
    <w:p>
      <w:pPr>
        <w:spacing w:line="276" w:lineRule="auto"/>
        <w:rPr>
          <w:szCs w:val="21"/>
        </w:rPr>
      </w:pPr>
      <w:r>
        <w:rPr>
          <w:rFonts w:hint="eastAsia"/>
          <w:szCs w:val="21"/>
        </w:rPr>
        <w:t>-------------------------------------------------------------</w:t>
      </w:r>
    </w:p>
    <w:p>
      <w:pPr>
        <w:spacing w:line="276" w:lineRule="auto"/>
        <w:rPr>
          <w:sz w:val="24"/>
          <w:szCs w:val="24"/>
        </w:rPr>
      </w:pPr>
      <w:r>
        <w:rPr>
          <w:sz w:val="24"/>
          <w:szCs w:val="24"/>
        </w:rPr>
        <w:t>一、指导思想和发展思路</w:t>
      </w:r>
    </w:p>
    <w:p>
      <w:pPr>
        <w:spacing w:line="276" w:lineRule="auto"/>
        <w:ind w:firstLine="240" w:firstLineChars="100"/>
        <w:rPr>
          <w:sz w:val="24"/>
          <w:szCs w:val="24"/>
        </w:rPr>
      </w:pPr>
      <w:r>
        <w:rPr>
          <w:rFonts w:hint="eastAsia"/>
          <w:sz w:val="24"/>
          <w:szCs w:val="24"/>
        </w:rPr>
        <w:t>（一）指导思想</w:t>
      </w:r>
    </w:p>
    <w:p>
      <w:pPr>
        <w:spacing w:line="276" w:lineRule="auto"/>
        <w:ind w:firstLine="240" w:firstLineChars="100"/>
        <w:rPr>
          <w:sz w:val="24"/>
          <w:szCs w:val="24"/>
        </w:rPr>
      </w:pPr>
      <w:r>
        <w:rPr>
          <w:rFonts w:hint="eastAsia"/>
          <w:sz w:val="24"/>
          <w:szCs w:val="24"/>
        </w:rPr>
        <w:t>（二）发展思路</w:t>
      </w:r>
    </w:p>
    <w:p>
      <w:pPr>
        <w:spacing w:line="276" w:lineRule="auto"/>
        <w:rPr>
          <w:sz w:val="24"/>
          <w:szCs w:val="24"/>
        </w:rPr>
      </w:pPr>
      <w:r>
        <w:rPr>
          <w:rFonts w:hint="eastAsia"/>
          <w:sz w:val="24"/>
          <w:szCs w:val="24"/>
        </w:rPr>
        <w:t>二、发展环境和发展目标</w:t>
      </w:r>
    </w:p>
    <w:p>
      <w:pPr>
        <w:spacing w:line="276" w:lineRule="auto"/>
        <w:ind w:firstLine="240" w:firstLineChars="100"/>
        <w:rPr>
          <w:sz w:val="24"/>
          <w:szCs w:val="24"/>
        </w:rPr>
      </w:pPr>
      <w:r>
        <w:rPr>
          <w:rFonts w:hint="eastAsia"/>
          <w:sz w:val="24"/>
          <w:szCs w:val="24"/>
        </w:rPr>
        <w:t>（三）发展环境</w:t>
      </w:r>
    </w:p>
    <w:p>
      <w:pPr>
        <w:spacing w:line="276" w:lineRule="auto"/>
        <w:ind w:firstLine="240" w:firstLineChars="100"/>
        <w:rPr>
          <w:sz w:val="24"/>
          <w:szCs w:val="24"/>
        </w:rPr>
      </w:pPr>
      <w:r>
        <w:rPr>
          <w:rFonts w:hint="eastAsia"/>
          <w:sz w:val="24"/>
          <w:szCs w:val="24"/>
        </w:rPr>
        <w:t>（四）发展目标</w:t>
      </w:r>
    </w:p>
    <w:p>
      <w:pPr>
        <w:spacing w:line="276" w:lineRule="auto"/>
        <w:ind w:firstLine="240" w:firstLineChars="100"/>
        <w:rPr>
          <w:sz w:val="24"/>
          <w:szCs w:val="24"/>
        </w:rPr>
      </w:pPr>
      <w:r>
        <w:rPr>
          <w:rFonts w:hint="eastAsia"/>
          <w:sz w:val="24"/>
          <w:szCs w:val="24"/>
        </w:rPr>
        <w:t>（五）发展定位</w:t>
      </w:r>
    </w:p>
    <w:p>
      <w:pPr>
        <w:spacing w:line="276" w:lineRule="auto"/>
        <w:rPr>
          <w:sz w:val="24"/>
          <w:szCs w:val="24"/>
        </w:rPr>
      </w:pPr>
      <w:r>
        <w:rPr>
          <w:sz w:val="24"/>
          <w:szCs w:val="24"/>
        </w:rPr>
        <w:t>三、</w:t>
      </w:r>
      <w:r>
        <w:rPr>
          <w:rFonts w:hint="eastAsia"/>
          <w:sz w:val="24"/>
          <w:szCs w:val="24"/>
        </w:rPr>
        <w:t>加强教学基础条件建设</w:t>
      </w:r>
    </w:p>
    <w:p>
      <w:pPr>
        <w:spacing w:line="276" w:lineRule="auto"/>
        <w:ind w:firstLine="240" w:firstLineChars="100"/>
        <w:rPr>
          <w:sz w:val="24"/>
          <w:szCs w:val="24"/>
        </w:rPr>
      </w:pPr>
      <w:r>
        <w:rPr>
          <w:rFonts w:hint="eastAsia"/>
          <w:sz w:val="24"/>
          <w:szCs w:val="24"/>
        </w:rPr>
        <w:t>（六）加强教学基础设施建设</w:t>
      </w:r>
    </w:p>
    <w:p>
      <w:pPr>
        <w:spacing w:line="276" w:lineRule="auto"/>
        <w:ind w:firstLine="240" w:firstLineChars="100"/>
        <w:rPr>
          <w:sz w:val="24"/>
          <w:szCs w:val="24"/>
        </w:rPr>
      </w:pPr>
      <w:r>
        <w:rPr>
          <w:rFonts w:hint="eastAsia"/>
          <w:sz w:val="24"/>
          <w:szCs w:val="24"/>
        </w:rPr>
        <w:t>（七）加大教学经费投入</w:t>
      </w:r>
    </w:p>
    <w:p>
      <w:pPr>
        <w:spacing w:line="276" w:lineRule="auto"/>
        <w:ind w:firstLine="240" w:firstLineChars="100"/>
        <w:rPr>
          <w:sz w:val="24"/>
          <w:szCs w:val="24"/>
        </w:rPr>
      </w:pPr>
      <w:r>
        <w:rPr>
          <w:rFonts w:hint="eastAsia"/>
          <w:sz w:val="24"/>
          <w:szCs w:val="24"/>
        </w:rPr>
        <w:t>（八）加强课程教学体系建设</w:t>
      </w:r>
    </w:p>
    <w:p>
      <w:pPr>
        <w:spacing w:line="276" w:lineRule="auto"/>
        <w:ind w:firstLine="240" w:firstLineChars="100"/>
        <w:rPr>
          <w:sz w:val="24"/>
          <w:szCs w:val="24"/>
        </w:rPr>
      </w:pPr>
      <w:r>
        <w:rPr>
          <w:rFonts w:hint="eastAsia"/>
          <w:sz w:val="24"/>
          <w:szCs w:val="24"/>
        </w:rPr>
        <w:t>（九）加强教师队伍建设</w:t>
      </w:r>
    </w:p>
    <w:p>
      <w:pPr>
        <w:spacing w:line="276" w:lineRule="auto"/>
        <w:ind w:firstLine="240" w:firstLineChars="100"/>
        <w:rPr>
          <w:sz w:val="24"/>
          <w:szCs w:val="24"/>
        </w:rPr>
      </w:pPr>
      <w:r>
        <w:rPr>
          <w:rFonts w:hint="eastAsia"/>
          <w:sz w:val="24"/>
          <w:szCs w:val="24"/>
        </w:rPr>
        <w:t>（十）打造优秀管理团队</w:t>
      </w:r>
    </w:p>
    <w:p>
      <w:pPr>
        <w:spacing w:line="276" w:lineRule="auto"/>
        <w:ind w:left="959" w:leftChars="114" w:hanging="720" w:hangingChars="300"/>
        <w:rPr>
          <w:sz w:val="24"/>
          <w:szCs w:val="24"/>
        </w:rPr>
      </w:pPr>
      <w:r>
        <w:rPr>
          <w:rFonts w:hint="eastAsia"/>
          <w:sz w:val="24"/>
          <w:szCs w:val="24"/>
        </w:rPr>
        <w:t>（十一）加强教学管理队伍建设</w:t>
      </w:r>
    </w:p>
    <w:p>
      <w:pPr>
        <w:spacing w:line="276" w:lineRule="auto"/>
        <w:ind w:left="959" w:leftChars="114" w:hanging="720" w:hangingChars="300"/>
        <w:rPr>
          <w:sz w:val="24"/>
          <w:szCs w:val="24"/>
        </w:rPr>
      </w:pPr>
      <w:r>
        <w:rPr>
          <w:rFonts w:hint="eastAsia"/>
          <w:sz w:val="24"/>
          <w:szCs w:val="24"/>
        </w:rPr>
        <w:t>（十二）加强学生工作队伍建设</w:t>
      </w:r>
    </w:p>
    <w:p>
      <w:pPr>
        <w:spacing w:line="276" w:lineRule="auto"/>
        <w:ind w:firstLine="240" w:firstLineChars="100"/>
        <w:rPr>
          <w:sz w:val="24"/>
          <w:szCs w:val="24"/>
        </w:rPr>
      </w:pPr>
      <w:r>
        <w:rPr>
          <w:rFonts w:hint="eastAsia"/>
          <w:sz w:val="24"/>
          <w:szCs w:val="24"/>
        </w:rPr>
        <w:t>（十三）加强教学质量保证体系建设</w:t>
      </w:r>
    </w:p>
    <w:p>
      <w:pPr>
        <w:spacing w:line="276" w:lineRule="auto"/>
        <w:ind w:firstLine="240" w:firstLineChars="100"/>
        <w:rPr>
          <w:sz w:val="24"/>
          <w:szCs w:val="24"/>
        </w:rPr>
      </w:pPr>
      <w:r>
        <w:rPr>
          <w:rFonts w:hint="eastAsia"/>
          <w:sz w:val="24"/>
          <w:szCs w:val="24"/>
        </w:rPr>
        <w:t>（十四）加强教学环境建设</w:t>
      </w:r>
    </w:p>
    <w:p>
      <w:pPr>
        <w:spacing w:line="276" w:lineRule="auto"/>
        <w:rPr>
          <w:sz w:val="24"/>
          <w:szCs w:val="24"/>
        </w:rPr>
      </w:pPr>
      <w:r>
        <w:rPr>
          <w:rFonts w:hint="eastAsia"/>
          <w:sz w:val="24"/>
          <w:szCs w:val="24"/>
        </w:rPr>
        <w:t xml:space="preserve">-----------------------------------------------------                   </w:t>
      </w:r>
    </w:p>
    <w:p>
      <w:pPr>
        <w:spacing w:line="276" w:lineRule="auto"/>
        <w:rPr>
          <w:sz w:val="24"/>
          <w:szCs w:val="24"/>
        </w:rPr>
      </w:pPr>
      <w:r>
        <w:rPr>
          <w:rFonts w:hint="eastAsia"/>
          <w:sz w:val="24"/>
          <w:szCs w:val="24"/>
        </w:rPr>
        <w:t>-----------------------------------------------------</w:t>
      </w:r>
    </w:p>
    <w:p>
      <w:pPr>
        <w:spacing w:line="276" w:lineRule="auto"/>
        <w:rPr>
          <w:sz w:val="24"/>
          <w:szCs w:val="24"/>
        </w:rPr>
      </w:pPr>
      <w:r>
        <w:rPr>
          <w:rFonts w:hint="eastAsia"/>
          <w:sz w:val="24"/>
          <w:szCs w:val="24"/>
        </w:rPr>
        <w:t>四、推进学院转型发展</w:t>
      </w:r>
    </w:p>
    <w:p>
      <w:pPr>
        <w:spacing w:line="276" w:lineRule="auto"/>
        <w:ind w:firstLine="240" w:firstLineChars="100"/>
        <w:rPr>
          <w:sz w:val="24"/>
          <w:szCs w:val="24"/>
        </w:rPr>
      </w:pPr>
      <w:r>
        <w:rPr>
          <w:rFonts w:hint="eastAsia"/>
          <w:sz w:val="24"/>
          <w:szCs w:val="24"/>
        </w:rPr>
        <w:t>（十五）调整学科专业结构</w:t>
      </w:r>
    </w:p>
    <w:p>
      <w:pPr>
        <w:spacing w:line="276" w:lineRule="auto"/>
        <w:ind w:firstLine="240" w:firstLineChars="100"/>
        <w:rPr>
          <w:sz w:val="24"/>
          <w:szCs w:val="24"/>
        </w:rPr>
      </w:pPr>
      <w:r>
        <w:rPr>
          <w:rFonts w:hint="eastAsia"/>
          <w:sz w:val="24"/>
          <w:szCs w:val="24"/>
        </w:rPr>
        <w:t>（十六）调整人才培养方案</w:t>
      </w:r>
    </w:p>
    <w:p>
      <w:pPr>
        <w:spacing w:line="276" w:lineRule="auto"/>
        <w:ind w:firstLine="240" w:firstLineChars="100"/>
        <w:rPr>
          <w:sz w:val="24"/>
          <w:szCs w:val="24"/>
        </w:rPr>
      </w:pPr>
      <w:r>
        <w:rPr>
          <w:rFonts w:hint="eastAsia"/>
          <w:sz w:val="24"/>
          <w:szCs w:val="24"/>
        </w:rPr>
        <w:t>（十七）广泛开展校企合作</w:t>
      </w:r>
    </w:p>
    <w:p>
      <w:pPr>
        <w:spacing w:line="276" w:lineRule="auto"/>
        <w:ind w:firstLine="240" w:firstLineChars="100"/>
        <w:rPr>
          <w:sz w:val="24"/>
          <w:szCs w:val="24"/>
        </w:rPr>
      </w:pPr>
      <w:r>
        <w:rPr>
          <w:rFonts w:hint="eastAsia"/>
          <w:sz w:val="24"/>
          <w:szCs w:val="24"/>
        </w:rPr>
        <w:t>（十八）强化教学实践环节</w:t>
      </w:r>
    </w:p>
    <w:p>
      <w:pPr>
        <w:spacing w:line="276" w:lineRule="auto"/>
        <w:ind w:firstLine="240" w:firstLineChars="100"/>
        <w:rPr>
          <w:sz w:val="24"/>
          <w:szCs w:val="24"/>
        </w:rPr>
      </w:pPr>
      <w:r>
        <w:rPr>
          <w:rFonts w:hint="eastAsia"/>
          <w:sz w:val="24"/>
          <w:szCs w:val="24"/>
        </w:rPr>
        <w:t>（十九）加强实习实训基地建设</w:t>
      </w:r>
    </w:p>
    <w:p>
      <w:pPr>
        <w:spacing w:line="276" w:lineRule="auto"/>
        <w:ind w:firstLine="240" w:firstLineChars="100"/>
        <w:rPr>
          <w:sz w:val="24"/>
          <w:szCs w:val="24"/>
        </w:rPr>
      </w:pPr>
      <w:r>
        <w:rPr>
          <w:rFonts w:hint="eastAsia"/>
          <w:sz w:val="24"/>
          <w:szCs w:val="24"/>
        </w:rPr>
        <w:t>（二十）推进创新创业教育</w:t>
      </w:r>
    </w:p>
    <w:p>
      <w:pPr>
        <w:spacing w:line="276" w:lineRule="auto"/>
        <w:ind w:firstLine="240" w:firstLineChars="100"/>
        <w:rPr>
          <w:sz w:val="24"/>
          <w:szCs w:val="24"/>
        </w:rPr>
      </w:pPr>
      <w:r>
        <w:rPr>
          <w:rFonts w:hint="eastAsia"/>
          <w:sz w:val="24"/>
          <w:szCs w:val="24"/>
        </w:rPr>
        <w:t>（二十一）拓展职业培训规模</w:t>
      </w:r>
    </w:p>
    <w:p>
      <w:pPr>
        <w:spacing w:line="276" w:lineRule="auto"/>
        <w:ind w:left="1170" w:leftChars="100" w:hanging="960" w:hangingChars="400"/>
        <w:rPr>
          <w:sz w:val="24"/>
          <w:szCs w:val="24"/>
        </w:rPr>
      </w:pPr>
      <w:r>
        <w:rPr>
          <w:rFonts w:hint="eastAsia"/>
          <w:sz w:val="24"/>
          <w:szCs w:val="24"/>
        </w:rPr>
        <w:t>（二十二）推动应用领域的科研工作</w:t>
      </w:r>
    </w:p>
    <w:p>
      <w:pPr>
        <w:spacing w:line="276" w:lineRule="auto"/>
        <w:ind w:firstLine="240" w:firstLineChars="100"/>
        <w:rPr>
          <w:sz w:val="24"/>
          <w:szCs w:val="24"/>
        </w:rPr>
      </w:pPr>
      <w:r>
        <w:rPr>
          <w:rFonts w:hint="eastAsia"/>
          <w:sz w:val="24"/>
          <w:szCs w:val="24"/>
        </w:rPr>
        <w:t>（二十三）加强国际交流与合作</w:t>
      </w:r>
    </w:p>
    <w:p>
      <w:pPr>
        <w:spacing w:line="276" w:lineRule="auto"/>
        <w:rPr>
          <w:sz w:val="24"/>
          <w:szCs w:val="24"/>
        </w:rPr>
      </w:pPr>
      <w:r>
        <w:rPr>
          <w:rFonts w:hint="eastAsia"/>
          <w:sz w:val="24"/>
          <w:szCs w:val="24"/>
        </w:rPr>
        <w:t>五、加强学院软实力建设</w:t>
      </w:r>
    </w:p>
    <w:p>
      <w:pPr>
        <w:spacing w:line="276" w:lineRule="auto"/>
        <w:ind w:firstLine="240" w:firstLineChars="100"/>
        <w:rPr>
          <w:sz w:val="24"/>
          <w:szCs w:val="24"/>
        </w:rPr>
      </w:pPr>
      <w:r>
        <w:rPr>
          <w:rFonts w:hint="eastAsia"/>
          <w:sz w:val="24"/>
          <w:szCs w:val="24"/>
        </w:rPr>
        <w:t>（二十四）加强党的基层组织建设</w:t>
      </w:r>
    </w:p>
    <w:p>
      <w:pPr>
        <w:spacing w:line="276" w:lineRule="auto"/>
        <w:ind w:left="1439" w:leftChars="114" w:hanging="1200" w:hangingChars="500"/>
        <w:rPr>
          <w:sz w:val="24"/>
          <w:szCs w:val="24"/>
        </w:rPr>
      </w:pPr>
      <w:r>
        <w:rPr>
          <w:rFonts w:hint="eastAsia"/>
          <w:sz w:val="24"/>
          <w:szCs w:val="24"/>
        </w:rPr>
        <w:t>（二十五）加强思想政治和精神文明建设</w:t>
      </w:r>
    </w:p>
    <w:p>
      <w:pPr>
        <w:spacing w:line="276" w:lineRule="auto"/>
        <w:ind w:firstLine="240" w:firstLineChars="100"/>
        <w:rPr>
          <w:sz w:val="24"/>
          <w:szCs w:val="24"/>
        </w:rPr>
      </w:pPr>
      <w:r>
        <w:rPr>
          <w:rFonts w:hint="eastAsia"/>
          <w:sz w:val="24"/>
          <w:szCs w:val="24"/>
        </w:rPr>
        <w:t>（二十六）完善核心政策制度体系</w:t>
      </w:r>
    </w:p>
    <w:p>
      <w:pPr>
        <w:spacing w:line="276" w:lineRule="auto"/>
        <w:ind w:firstLine="240" w:firstLineChars="100"/>
        <w:rPr>
          <w:sz w:val="24"/>
          <w:szCs w:val="24"/>
        </w:rPr>
      </w:pPr>
      <w:r>
        <w:rPr>
          <w:rFonts w:hint="eastAsia"/>
          <w:sz w:val="24"/>
          <w:szCs w:val="24"/>
        </w:rPr>
        <w:t>（二十七）加强教风学风建设</w:t>
      </w:r>
    </w:p>
    <w:p>
      <w:pPr>
        <w:spacing w:line="276" w:lineRule="auto"/>
        <w:ind w:left="1919" w:leftChars="114" w:hanging="1680" w:hangingChars="700"/>
        <w:rPr>
          <w:sz w:val="24"/>
          <w:szCs w:val="24"/>
        </w:rPr>
      </w:pPr>
      <w:r>
        <w:rPr>
          <w:rFonts w:hint="eastAsia"/>
          <w:sz w:val="24"/>
          <w:szCs w:val="24"/>
        </w:rPr>
        <w:t>（二十八）加强向心力和凝聚力建</w:t>
      </w:r>
    </w:p>
    <w:p>
      <w:pPr>
        <w:spacing w:line="276" w:lineRule="auto"/>
        <w:ind w:left="1916" w:leftChars="684" w:hanging="480" w:hangingChars="200"/>
        <w:rPr>
          <w:sz w:val="24"/>
          <w:szCs w:val="24"/>
        </w:rPr>
      </w:pPr>
      <w:r>
        <w:rPr>
          <w:rFonts w:hint="eastAsia"/>
          <w:sz w:val="24"/>
          <w:szCs w:val="24"/>
        </w:rPr>
        <w:t>设</w:t>
      </w:r>
    </w:p>
    <w:p>
      <w:pPr>
        <w:spacing w:line="276" w:lineRule="auto"/>
        <w:rPr>
          <w:sz w:val="24"/>
          <w:szCs w:val="24"/>
        </w:rPr>
      </w:pPr>
      <w:r>
        <w:rPr>
          <w:rFonts w:hint="eastAsia"/>
          <w:sz w:val="24"/>
          <w:szCs w:val="24"/>
        </w:rPr>
        <w:t>-----------------------------------------------------</w:t>
      </w:r>
    </w:p>
    <w:p>
      <w:pPr>
        <w:spacing w:line="276" w:lineRule="auto"/>
        <w:ind w:left="1916" w:leftChars="684" w:hanging="480" w:hangingChars="200"/>
        <w:rPr>
          <w:sz w:val="24"/>
          <w:szCs w:val="24"/>
        </w:rPr>
        <w:sectPr>
          <w:type w:val="continuous"/>
          <w:pgSz w:w="11906" w:h="16838"/>
          <w:pgMar w:top="1440" w:right="1797" w:bottom="1440" w:left="1797" w:header="851" w:footer="992" w:gutter="0"/>
          <w:cols w:space="425" w:num="2"/>
          <w:docGrid w:type="lines" w:linePitch="465" w:charSpace="0"/>
        </w:sectPr>
      </w:pPr>
    </w:p>
    <w:p>
      <w:pPr>
        <w:spacing w:line="360" w:lineRule="exact"/>
        <w:ind w:firstLine="480" w:firstLineChars="200"/>
        <w:contextualSpacing/>
        <w:rPr>
          <w:rFonts w:ascii="仿宋" w:hAnsi="仿宋" w:eastAsia="仿宋"/>
          <w:sz w:val="24"/>
          <w:szCs w:val="24"/>
        </w:rPr>
      </w:pPr>
      <w:r>
        <w:rPr>
          <w:rFonts w:hint="eastAsia" w:ascii="仿宋" w:hAnsi="仿宋" w:eastAsia="仿宋"/>
          <w:sz w:val="24"/>
          <w:szCs w:val="24"/>
        </w:rPr>
        <w:t>依据国家及黑龙江省“十三五”规划纲要关于推进教育现代化和建设优质公平教育发展体系精神，依据国家及黑龙江省“中长期教育改革和发展规划纲要”关于高等教育事业的发展目标和任务，结合我院“十二五”期间的建设发展实际，制定本规划。本规划主要阐明我院“十三五”期间教育事业发展目标、主要任务和重大举措，是我院各级领导机构和教职员工履行职责、推动学院改革发展的行动纲要，是编制学院年度工作计划和制定核心政策、制度的重要依据。</w:t>
      </w:r>
    </w:p>
    <w:p>
      <w:pPr>
        <w:spacing w:line="360" w:lineRule="exact"/>
        <w:contextualSpacing/>
        <w:rPr>
          <w:rFonts w:ascii="仿宋" w:hAnsi="仿宋" w:eastAsia="仿宋"/>
          <w:sz w:val="24"/>
          <w:szCs w:val="24"/>
        </w:rPr>
      </w:pPr>
    </w:p>
    <w:p>
      <w:pPr>
        <w:spacing w:line="360" w:lineRule="exact"/>
        <w:contextualSpacing/>
        <w:jc w:val="center"/>
        <w:rPr>
          <w:rFonts w:ascii="黑体" w:hAnsi="黑体" w:eastAsia="黑体"/>
          <w:sz w:val="24"/>
          <w:szCs w:val="24"/>
        </w:rPr>
      </w:pPr>
      <w:r>
        <w:rPr>
          <w:rFonts w:hint="eastAsia" w:ascii="黑体" w:hAnsi="黑体" w:eastAsia="黑体"/>
          <w:sz w:val="24"/>
          <w:szCs w:val="24"/>
        </w:rPr>
        <w:t>一、指导思想和发展思路</w:t>
      </w:r>
    </w:p>
    <w:p>
      <w:pPr>
        <w:spacing w:line="360" w:lineRule="exact"/>
        <w:ind w:firstLine="420" w:firstLineChars="200"/>
        <w:contextualSpacing/>
        <w:rPr>
          <w:rFonts w:ascii="黑体" w:hAnsi="黑体" w:eastAsia="黑体"/>
          <w:szCs w:val="21"/>
        </w:rPr>
      </w:pPr>
    </w:p>
    <w:p>
      <w:pPr>
        <w:spacing w:line="360" w:lineRule="exact"/>
        <w:ind w:firstLine="480" w:firstLineChars="200"/>
        <w:contextualSpacing/>
        <w:rPr>
          <w:rFonts w:ascii="仿宋" w:hAnsi="仿宋" w:eastAsia="仿宋"/>
          <w:sz w:val="24"/>
          <w:szCs w:val="24"/>
        </w:rPr>
      </w:pPr>
      <w:r>
        <w:rPr>
          <w:rFonts w:hint="eastAsia" w:ascii="仿宋" w:hAnsi="仿宋" w:eastAsia="仿宋"/>
          <w:sz w:val="24"/>
          <w:szCs w:val="24"/>
        </w:rPr>
        <w:t>（一）指导思想</w:t>
      </w:r>
    </w:p>
    <w:p>
      <w:pPr>
        <w:spacing w:line="360" w:lineRule="exact"/>
        <w:ind w:firstLine="480" w:firstLineChars="200"/>
        <w:contextualSpacing/>
        <w:rPr>
          <w:rFonts w:ascii="仿宋" w:hAnsi="仿宋" w:eastAsia="仿宋"/>
          <w:sz w:val="24"/>
          <w:szCs w:val="24"/>
        </w:rPr>
      </w:pPr>
      <w:r>
        <w:rPr>
          <w:rFonts w:hint="eastAsia" w:ascii="仿宋" w:hAnsi="仿宋" w:eastAsia="仿宋"/>
          <w:sz w:val="24"/>
          <w:szCs w:val="24"/>
        </w:rPr>
        <w:t>以马克思列宁主义、毛泽东思想、邓小平理论、“三个代表”重要思想、科学发展观为指导，深入贯彻习近平总书记系列重要讲话精神，坚持社会主义办学方向，坚持教育公益性质，坚持育人为本，德育为先，实施素质教育。深入贯彻党的十八大和十八届三中、四中、五中全会精神，以国家中长期教育改革和发展规划纲要为统领，以国家三部委《关于引导部分地方普通本科高校向应用型转变的指导意见》为指导，以学生未来就业岗位需求为导向，以培养具有良好道德品质、具有勇于创新精神、具有高度社会责任感、理论知识扎实、专业能力全面、实践能力突出、具备继续学习能力的高素质应用型、技术技能型、复合型人才为目标，推动学院把办学思路真正转到服务地方经济社会发展上来，转到产教融合校企合作上来，转到培养应用型技术技能型人才上来，转到增强学生就业创业能力上来。继续大力充实办学条件，全面规范办学行为，加强教学基础建设，着力推进转型发展，把学校建设成为办学条件优良、校企深度融合、专业特色鲜明、比较优势明显、社会普遍认可的高水平应用技术型学院。</w:t>
      </w:r>
    </w:p>
    <w:p>
      <w:pPr>
        <w:spacing w:line="360" w:lineRule="exact"/>
        <w:ind w:firstLine="480" w:firstLineChars="200"/>
        <w:rPr>
          <w:rFonts w:ascii="仿宋" w:hAnsi="仿宋" w:eastAsia="仿宋"/>
          <w:color w:val="FF0000"/>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（二）</w:t>
      </w:r>
      <w:r>
        <w:rPr>
          <w:rFonts w:ascii="仿宋" w:hAnsi="仿宋" w:eastAsia="仿宋"/>
          <w:sz w:val="24"/>
          <w:szCs w:val="24"/>
        </w:rPr>
        <w:t>发展思路</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牢固树立和贯彻落实创新、协调、绿色、开放、共享的发展理念，以提高发展质量和效益为中心，实施内涵发展、转型发展、特色发展和人才优先发展战略。坚持稳中求进，坚持质量标准，坚持统筹推进各领域的建设和发展。</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尊重办学规律，突出教学工作的中心地位，在教学工作的各个方面以新思路指导和推进具体工作：</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1.在专业设置方面</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根据区域工业化、信息化、城镇化和农业现代化建设以及国家产业结构调整需要，合理设置和调整专业，形成能够体现学院特色，能够与区域产业发展、社会建设、人才市场需求紧密对接的学科专业结构和布局。要不断提升服务地方经济社会发展能力，重点建设与实体经济、战略性新兴产业和现代服务业相关的工程、技术、管理类等紧缺专业。</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2.在培养模式方面</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建立和完善以校企合作为主要形式的应用型人才培养制度，建立校企合作规划、合作治理、合作培养机制，开展多种形式的产学研合作，使行业、企业参与学校人才培养工作的全过程。科学设计知识、技术和实践深度结合的课程体系，将人才培养与行业、企业生产服务流程和价值创造过程高度融合。</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3.在教师队伍方面</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教师的任职资格既要满足对学术水平的要求，又要满足对专业实践能力的要求。教师的科研活动主要侧重于科技开发和科技应用研究。教师队伍的整体结构呈现明显的“双师型双能型”特点，专业核心课程教师应当具有相关的企业工作经历或实践经验，来自行业、企业的管理人员、专业技术人员和高技能人才应在教师队伍中占有相当比例。</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4.在教学方法方面</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理论与实践学习交叉进行，通过理论与实践的结合有效提高学生理论应用于实践的能力。重视专业课教学中的案例教学、项目教学、任务驱动教学、虚拟现实技术教学、企业现场教学等方式。减少课堂讲授时数，高度重视实践教学环节，辟出专门学期（学年）进行企业实习，使学生进一步获得岗位任职能力。</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5.在实践教学方面</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加大实践教学比例，加强实验实训基地建设，根据真实生产、服务的技术和工艺流程设计实践教学环境。加强与企业、行业的联系，建设校内外相结合的、系统的实验实训基地，发展产学研合作项目以加强与产业界的联系。校内实习实训能满足基础性、过程性、功能性实验要求，专业实验实训设备水平要瞄准相关企业设备的先进水平。</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6.在职业指导方面</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重视对学生进行职业和就业指导，将职业和就业指导贯穿于大学教育的全过程。在大学教育全过程中分阶段确定指导工作重点，根据学生的个性特点和禀赋爱好制定不同对象的指导工作目标，根据学生所学不同专业的职业特点科学调整指导工作内容，依据学生参加企业实习实训的实际表现有针对性地提高指导工作的实效性。</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7.在科技服务方面</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面向经济社会发展的实际需求，积极开展技术推广、技术服务、成果转化和决策咨询，为行业、产业、企业的技术应用和技术创新提供科技服务。将面向行业特别是企业的授权专利数量、决策咨询、取得横向科研经费和获得地方、行业奖励情况作为衡量学校科技服务能力和水平的重要指标。</w:t>
      </w:r>
    </w:p>
    <w:p>
      <w:pPr>
        <w:spacing w:line="360" w:lineRule="exact"/>
        <w:jc w:val="center"/>
        <w:rPr>
          <w:rFonts w:ascii="仿宋" w:hAnsi="仿宋" w:eastAsia="仿宋"/>
          <w:sz w:val="24"/>
          <w:szCs w:val="24"/>
        </w:rPr>
      </w:pPr>
    </w:p>
    <w:p>
      <w:pPr>
        <w:spacing w:line="360" w:lineRule="exact"/>
        <w:jc w:val="center"/>
        <w:rPr>
          <w:rFonts w:ascii="黑体" w:hAnsi="黑体" w:eastAsia="黑体"/>
          <w:sz w:val="24"/>
          <w:szCs w:val="24"/>
        </w:rPr>
      </w:pPr>
      <w:r>
        <w:rPr>
          <w:rFonts w:hint="eastAsia" w:ascii="黑体" w:hAnsi="黑体" w:eastAsia="黑体"/>
          <w:sz w:val="24"/>
          <w:szCs w:val="24"/>
        </w:rPr>
        <w:t>二、发展环境和发展目标</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（三）发展环境</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十二五”时期（2010-2015）是我院全面贯彻落实党的教育方针，认真落实《国家中长期教育改革和发展规划纲要(2010-2020年)》，以国家发展战略和区域经济社会发展需求为导向，主动适应高等教育事业改革与发展新常态，抓住独立学院五年过渡期的战略机遇，大力充实办学条件，全面规范办学行为，</w:t>
      </w:r>
      <w:r>
        <w:rPr>
          <w:rFonts w:ascii="仿宋" w:hAnsi="仿宋" w:eastAsia="仿宋"/>
          <w:sz w:val="24"/>
          <w:szCs w:val="24"/>
          <w:shd w:val="clear" w:color="auto" w:fill="FFFFFF"/>
        </w:rPr>
        <w:t>着力</w:t>
      </w:r>
      <w:r>
        <w:rPr>
          <w:rFonts w:hint="eastAsia" w:ascii="仿宋" w:hAnsi="仿宋" w:eastAsia="仿宋"/>
          <w:sz w:val="24"/>
          <w:szCs w:val="24"/>
        </w:rPr>
        <w:t>突破学院发展中的瓶颈制约和条件障碍，内涵建设全面推进，综合实力稳步增强，人才培养质量明显提高，社会影响力和美誉度不断向好。</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 xml:space="preserve"> “十二五”期间我院严格按照国家有关法律法规规范办学行为，大力强化教育的公益性质，完善理事会领导下院长负责制、党委会发挥政治核心作用和</w:t>
      </w:r>
      <w:r>
        <w:rPr>
          <w:rFonts w:hint="eastAsia" w:ascii="仿宋" w:hAnsi="仿宋" w:eastAsia="仿宋"/>
          <w:bCs/>
          <w:sz w:val="24"/>
          <w:szCs w:val="24"/>
        </w:rPr>
        <w:t>教职工参与民主管理、民主监督的</w:t>
      </w:r>
      <w:r>
        <w:rPr>
          <w:rFonts w:hint="eastAsia" w:ascii="仿宋" w:hAnsi="仿宋" w:eastAsia="仿宋"/>
          <w:sz w:val="24"/>
          <w:szCs w:val="24"/>
        </w:rPr>
        <w:t>法人治理结构和行政管理体制，组织与活动始终在健康轨道运行。学院从调整学科专业设置入手，形成了以工学、管理学为主体，重点发展工程、技术、管理类等紧缺专业的学科专业结构框架。推进人才培养模式综合改革和专业课程体系建设，通过多渠道建立校企合作关系，探索引进先进课程体系、实施一定的课程置换、委托企业指导专业实训等途径优化课程教学体系，为本科教学向应用技术型转型奠定了重要基础。以扩大数量、改善结构、提高素质为目标加强教师队伍建设，实行培养与引进并举，专兼职队伍并重，着力打造“双师双能型”教师队伍，实现了生师比、年龄结构、职称结构、学缘结构渐趋合理。加大办学基础条件建设，启动新校区建设任务，在</w:t>
      </w:r>
      <w:r>
        <w:rPr>
          <w:rFonts w:hint="eastAsia" w:ascii="仿宋" w:hAnsi="仿宋" w:eastAsia="仿宋"/>
          <w:bCs/>
          <w:sz w:val="24"/>
          <w:szCs w:val="24"/>
        </w:rPr>
        <w:t>校园与教学行政用房建设、实验室与实习实训基地建设、教学科研仪器设备增购、纸质及电子图书、期刊增购等方面加大经费投放力度，主要办学条件指标全部达到或超过教育部规定标准。教学管理制度完备，教学运行平稳有序，教学秩序管理常抓不懈且成效明显，专业技能培养和</w:t>
      </w:r>
      <w:r>
        <w:rPr>
          <w:rFonts w:hint="eastAsia" w:ascii="仿宋" w:hAnsi="仿宋" w:eastAsia="仿宋"/>
          <w:sz w:val="24"/>
          <w:szCs w:val="24"/>
        </w:rPr>
        <w:t>实践能力培训得到高度重视并取得显著成效，学生参加国内各类专业技能大赛的获奖数量和获奖等级在省内同类高校中均可位居前列。教师参与科学研究和教学研究积极性明显提高，科研立项、出版论著、发表论文的数量和级别较“十一五”期间大幅度提升，尤其是</w:t>
      </w:r>
      <w:r>
        <w:rPr>
          <w:rFonts w:hint="eastAsia" w:ascii="仿宋" w:hAnsi="仿宋" w:eastAsia="仿宋" w:cs="宋体"/>
          <w:kern w:val="0"/>
          <w:sz w:val="24"/>
          <w:szCs w:val="24"/>
        </w:rPr>
        <w:t>获得授权专利达到54项，说明</w:t>
      </w:r>
      <w:r>
        <w:rPr>
          <w:rFonts w:hint="eastAsia" w:ascii="仿宋" w:hAnsi="仿宋" w:eastAsia="仿宋"/>
          <w:sz w:val="24"/>
          <w:szCs w:val="24"/>
        </w:rPr>
        <w:t>以应用为驱动提高创新能力，面向行业特别是企业开展技术服务和决策咨询服务越来越受到教师重视。学院党委高度重视党建和思想政治工作，充分发挥基层党组织的战斗堡垒作用和党员先锋模范作用，党团员队伍不断扩大，学生思想教育、日常管理、心理健康教育、学生工作队伍建设、校园文化建设等项工作健康开展，党组织在学院办学活动中的监督保证作用得到充分发挥。学院招生</w:t>
      </w:r>
      <w:r>
        <w:rPr>
          <w:rFonts w:hint="eastAsia" w:ascii="仿宋" w:hAnsi="仿宋" w:eastAsia="仿宋"/>
          <w:bCs/>
          <w:sz w:val="24"/>
          <w:szCs w:val="24"/>
        </w:rPr>
        <w:t>生源充足，录取分数线呈逐年提高趋势，新生报到率每年都在90%以上，2015年达到95%。</w:t>
      </w:r>
      <w:r>
        <w:rPr>
          <w:rFonts w:hint="eastAsia" w:ascii="仿宋" w:hAnsi="仿宋" w:eastAsia="仿宋"/>
          <w:sz w:val="24"/>
          <w:szCs w:val="24"/>
        </w:rPr>
        <w:t>毕业生一次就业率连续多年位于全省民办高校前列，2014年达到95%，2015年达到96%。2014年学院顺利通过省学位办学士学位授予权资格评审，14个专业获得学士学位授予权。2014年底学院顺利通过国家高校设置评审委员会评审，2015年初成功转设为独立设置的民办普通本科高等学校。</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我院“十二五”期间取得的长足进步和快速发展，为“十三五”良好开局奠定了坚实基础。</w:t>
      </w:r>
    </w:p>
    <w:p>
      <w:pPr>
        <w:spacing w:line="360" w:lineRule="exact"/>
        <w:ind w:firstLine="480" w:firstLineChars="200"/>
        <w:rPr>
          <w:rFonts w:ascii="仿宋" w:hAnsi="仿宋" w:eastAsia="仿宋"/>
          <w:color w:val="FF0000"/>
          <w:sz w:val="24"/>
          <w:szCs w:val="24"/>
        </w:rPr>
      </w:pPr>
      <w:r>
        <w:rPr>
          <w:rFonts w:hint="eastAsia" w:ascii="仿宋" w:hAnsi="仿宋" w:eastAsia="仿宋"/>
          <w:sz w:val="24"/>
          <w:szCs w:val="24"/>
        </w:rPr>
        <w:t>“十三五”是我院建成高水平应用技术型学院的关键时期。我院结束了独立学院办学形式，开启了建设普通本科高校的新阶段，工作重心将从充实办学条件、规范办学行为、做好转设有关工作转向夯实发展基础、提升办学水平、建设高水平应用技术型学院。这一时期正值国家转变经济发展方式、推动产业结构优化升级、加快发展战略性新兴产业，以及实施创新驱动发展、中国制造2025、互联网+、大众创业万众创新等重大战略；正值中共中央、国务院发布关于全面振兴东北地区等老工业基地的若干意见，提出到2020年东北地区在重要领域和关键环节改革上取得重大成果，在此基础上再用10年左右时间实现全面振兴。国家战略和重大举措的实施，为高等教育发展提供了重大机遇。国家“十三五”规划纲要提出“建立分类管理、差异化扶持的政策体系，鼓励社会力量和民间资本提供多样化教育服务”，又重申了国家对民办教育的高度重视。我省“十三五”规划纲要提出的关于五大发展理念及创新发展实施“五大规划”和推进“中蒙俄经济走廊”黑龙江陆海丝绸之路经济带建设，关于以培养应用型人才为导向推动一批地方本科院校和行业特色院校转型发展，加快建设中国特色现代大学制度，关于支持和规范民办教育发展，鼓励社会力量和民间资本提供多样化教育服务等发展任务，为我院的教育事业发展提供了广阔的空间。国内和省内良好的经济社会发展环境和政策保障措施为我院“十三五”发展提供了难得的大好机遇。</w:t>
      </w:r>
      <w:r>
        <w:rPr>
          <w:rFonts w:hint="eastAsia" w:ascii="仿宋" w:hAnsi="仿宋" w:eastAsia="仿宋"/>
          <w:color w:val="FF0000"/>
          <w:sz w:val="24"/>
          <w:szCs w:val="24"/>
        </w:rPr>
        <w:t>　</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 xml:space="preserve"> “十二五”期间我院尽管在许多方面都取得了长足进步，但继续发展也面临一些突出问题和制约因素。一是与国内、省内高等教育发展新常态比较，我院仍未摆脱后发劣势地位，在民办高校与公办高校的办学优势竞争、民办高校之间的综合实力竞争和办学条件竞争、学校优质生源和毕业生就业领域竞争等方面尚未完全摆脱被动局面。二是办学经费不足，收入增长乏力，债务压力较大，办学基础条件建设存在很多短板且短时间内补齐面临许多困难。三是教师队伍建设问题突出，学科和专业领军人才不足，队伍的学历水平、职称水平不高，“双师双能型”教师比例偏低，短时间内改善教师队伍结构任务繁重。四是学院实践教学体系建设基础不牢，与企业、行业的合作领域偏窄，进一步拓展校企合作领域和提升校企合作层次困难较多。五是将科研工作融入以企业为主体的区域、行业技术创新体系，积极开展科技服务和应用性创新活动，积极开展技术推广、技术服务、成果转化和决策咨询等起步不快、优势不足、成果不多，技术开发和服务社会能力有待大力提升。以上问题在我院建设发展过程中是长期存在的，但“十二五”时期我院在破解上述难题上取得了许多突破性进展，目前全面化解各类制约因素的顶层设计和实施路线图已初步形成，</w:t>
      </w:r>
      <w:r>
        <w:rPr>
          <w:rFonts w:ascii="仿宋" w:hAnsi="仿宋" w:eastAsia="仿宋"/>
          <w:sz w:val="24"/>
          <w:szCs w:val="24"/>
        </w:rPr>
        <w:t>按照本规划制定的目标任务努力</w:t>
      </w:r>
      <w:r>
        <w:rPr>
          <w:rFonts w:hint="eastAsia" w:ascii="仿宋" w:hAnsi="仿宋" w:eastAsia="仿宋"/>
          <w:sz w:val="24"/>
          <w:szCs w:val="24"/>
        </w:rPr>
        <w:t>，用五年时间消除各种瓶颈、实现跨越发展是完全可以做到的。由此可见，我院“十三五”时期的发展环境是机遇难得，态势良好，条件充裕，大有可为。</w:t>
      </w:r>
    </w:p>
    <w:p>
      <w:pPr>
        <w:spacing w:line="360" w:lineRule="exact"/>
        <w:rPr>
          <w:rFonts w:ascii="黑体" w:hAnsi="黑体" w:eastAsia="黑体"/>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（四）发展目标</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发展总体目标</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学院办学定位明确，发展目标清晰，法人治理结构完善，领导体制健全，初步建立起现代大学制度。教学基础设施和基本条件齐备，主要项目指标达到或超过教育部规定标准，实验实训设备配置水平与先进程度得到明显提高，现代信息技术得到广泛应用。教学管理规范，人才培养方案符合学校培养目标要求，教学质量有可靠保证。基本建立起以校企合作为主要途径的应用型人才培养制度，建立起与产业链、创新链紧密对接的学科专业体系，建立起根据生产、服务的真实技术和流程构建的知识教育体系、技术技能训练体系和实验实训实习环境。初步建立起专业水平高、实践能力强、来自行业企业的专业技术人员和高技能人才占有相当比例的“双师双能型”教师队伍。学院的办学基础条件和软实力建设取得重大进展，办学水平明显提高，服务区域经济社会发展能力、服务行业企业技术进步能力和为学习者创造价值的能力得到全面提升。学院转型发展进入健康轨道，高水平应用技术型学院架构基本建成。</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2. 发展具体目标</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建立起现代大学治理体系：完善理事会领导下院长负责制，学院理事会、党委会、校务委员会、教学指导委员会、学术委员会、学位委员会及其他事关大学制度建设的机构健全、职责明晰、运行顺畅。师生员工参与民主管理、民主监督和建言献策机制能充分发挥作用。教学、科研、人事、学生管理、财务管理等重要领域的改革得到全面深化并取得重要成果，学院核心政策体系和规章制度体系得到全面修订和完善。</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人才培养质量全面提升：完善教学质量保障体系，完善教学质量评价机制，保障和评价机制能充分发挥对教学质量的监督保障作用。建立起符合转型发展要求的专业人才培养方案体系并在本科教学活动中得到全面落实。省级精品课程申报和省级教学成果奖获奖实现零的突破。将逐年的学生NCRE考试通过率、英语四（六）级考试通过率、国家职业资格证书持证率、高层次专业技能竞赛获奖数、报考研究生录取数等五项数字指标作为衡量教学质量的重要指标，“十三五”期间各项指标比“十二五”期间有10%以上幅度的提高。</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科研和科技服务水平稳步提高：省部级科研课题结题数、出版专业著作和教材数、在核心期刊发表论文数（主要国际期刊检索论文数、主要国内期刊检索论文数）、获得授权专利数、获得地市级以上科研成果奖的人次和层级等主要指标比“十二五”有较大幅度提高。科技开发、科技服务、决策咨询、市场调研等成为学院科研工作的重要方向和主流，直接服务于地方经济社会发展的科研课题成为教师科研的主要选项，科研成果数量多、影响好。</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职业技能培训与创业教育取得明显成效：专业技能训练课纳入所有专业课程教学计划，哈南校区实习实训基地初步建成并投入正常运行，以校内实训和委托企业培训相结合的方式构建起功能完善的职业技能教育板块。大学生创业教育在全校学生中普遍开展，创客空间建设项目启动并投入运行，针对中小微企业或家族企业的EDP培训项目（创业和管理培训）顺利开展。</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国际交流与合作取得重大进展：与国（境）外知名应用技术型高校建立院校合作关系，提升学院的开放办学水平。在系统引进人才培养模式、引进应用技术型的专业课程培养标准、引进技术技能型教师培训项目、开展互派教师、互换学生、合作办学等项目上取得重大突破。</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人才强校战略得到全面落实：创新人才引进机制，加大学科专业带头人和“双师双能型”高级人才引进力度，教师队伍中高端人才力量明显加强。强化干部队伍建设，改革干部队伍管理机制，行政和教学管理队伍整体水平从根本上得到提升。</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——办学基础条件得到显著改善：校园面积和建筑面积充分满足办学需要。生均教学仪器设备值和年新增量、生均藏书量和生均年进书量、教学办公用房及各种附属设施（教学辅助设施、运动场所、活动场所等</w:t>
      </w:r>
      <w:r>
        <w:rPr>
          <w:rFonts w:ascii="仿宋" w:hAnsi="仿宋" w:eastAsia="仿宋"/>
          <w:sz w:val="24"/>
          <w:szCs w:val="24"/>
        </w:rPr>
        <w:t>）</w:t>
      </w:r>
      <w:r>
        <w:rPr>
          <w:rFonts w:hint="eastAsia" w:ascii="仿宋" w:hAnsi="仿宋" w:eastAsia="仿宋"/>
          <w:sz w:val="24"/>
          <w:szCs w:val="24"/>
        </w:rPr>
        <w:t>均达到国家办学条件要求并完全满足人才培养需要。校园网及网络资源建设在教学中发挥积极作用。教师队伍数量和结构能满足学院发展定位要求和人才培养目标要求。学院软实力建设取得明显成果，社会影响力和美誉度明显提升。</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（五）发展定位</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——办学类别定位：综合类应用技术型民办普通本科高等学校。</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——培养目标定位：培养具有良好道德品质、具有勇于创新精神、具有高度社会责任感、理论知识扎实、专业能力全面、实践能力突出、具备继续学习能力的高素质应用型、技术技能型、复合型人才。</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学科专业定位：以经济学、管理学、工学、文学、艺术学等学科门类专业为主，重点发展工程、技术、管理类紧缺专业，从“工科”和“商科”两个方向培育学院行业特色，形成能够与区域产业发展、社会建设、人才市场需求紧密对接的学科专业结构。</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——办学层次定位：以本科教育为主体，适度发展专科职业技术教育和成人继续教育，积累资源、创造条件逐步向硕士研究生层次教育发展。</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——办学形式定位：以全日制学历教育为主体，适度发展职业技术培训教育。</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——办学规模定位：到“十三五”规划期末，本科在校生8500～9000人，专科生1500～2000人。</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——服务面向定位：面向经济社会发展和产业结构调整需要，在研究开发领域着眼于技术应用性工作，在生产服务领域着眼于创新开发性工作。</w:t>
      </w:r>
    </w:p>
    <w:p>
      <w:pPr>
        <w:spacing w:line="360" w:lineRule="exact"/>
        <w:ind w:firstLine="480" w:firstLineChars="200"/>
        <w:rPr>
          <w:rFonts w:ascii="仿宋" w:hAnsi="仿宋" w:eastAsia="仿宋"/>
          <w:sz w:val="24"/>
          <w:szCs w:val="24"/>
        </w:rPr>
      </w:pPr>
    </w:p>
    <w:p>
      <w:pPr>
        <w:spacing w:line="360" w:lineRule="exact"/>
        <w:jc w:val="center"/>
        <w:rPr>
          <w:rFonts w:ascii="黑体" w:hAnsi="黑体" w:eastAsia="黑体"/>
          <w:sz w:val="24"/>
          <w:szCs w:val="24"/>
        </w:rPr>
      </w:pPr>
      <w:r>
        <w:rPr>
          <w:rFonts w:hint="eastAsia" w:ascii="黑体" w:hAnsi="黑体" w:eastAsia="黑体"/>
          <w:sz w:val="24"/>
          <w:szCs w:val="24"/>
        </w:rPr>
        <w:t>三、加强教学基础条件建设</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（六）加强教学基础设施建设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稳定现有校园规模，根据需要适度扩展，在现有46万平方米基础上，增加到50万平方米，将与实习实训、职业技能培训有关的功能性设施全部向哈南校区转移。适度扩大建筑规模，在现有22.95万平方米基础上，到“十三五”规划期末达到31万平方米，保证教室、实验室、实习实训场所、附属用房、运动场、学生活动中心及其他相关设施能完全满足人才培养需要。完成新校区实训基地建设任务，力争2017年正式投入使用，以后陆续扩大规模。整合和充实江北校区各实验实训区的教学资源，依据专业结构调整增设部分实验实训室。启动数字化校园建设工程以提升校区信息化管理层次，改造部分楼宇辟出科技企业孵化器（创客空间、学生创业基地）及外国专家公寓等用房。做好基础设施的维修改造工作，完善校园供暖管网的平衡调整，保证供水、供电、供暖、供气系统的完好畅通。完善资产管理制度，建立配置科学、使用合理、处置优化、管理高效的资产管理体制，增强资源成本意识，提高资金和各种资源的使用效益。统筹整合校内资源，建立学院“资产综合管理平台”，实现资产管理定期对账和动态监控。强化办公设备及教学科研设备采购管理工作，加强设备购置的计划性和科学论证，严格按规定程序完成有关项目的采购任务。做好固定资产入账、统计和清查，及时对设备进行维修维护，合理进行固定资产报废及闲置回收，确保资源使用效益最大化。</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（七）加大教学经费投入</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适度扩大办学规模，增加学费收入。适度扩大办学领域，拓展办学形式，扩大筹资、融资渠道。到“十三五”规划期末，学院年度总收入水平比2015年度增长50%以上。持续加大教学科研仪器设备、图书资料、信息化校园设备投入，信息化校园和资源保障信息系统建设取得突破性进展。仪器设备总值在现有4,087万元基础上,到“十三五”规划期末达到6,000万元以上。馆藏图书在现有76万册基础上，到“十三五”规划期末达到100万册。学校开展普通本专科教学活动及其辅助活动发生的“教学日常运行支出”（教学教辅部门发生的办公费、印刷费、咨询费、邮电费、交通费、差旅费、出国费、维修（护）费、租赁费、会议费、培训费、专用材料费、劳务费、其他教学商品和服务支出）不低于学费总收入的13%。教学领域经费投放在现有基础上逐年提高，到“十三五”规划期末较2015年翻一番。</w:t>
      </w:r>
    </w:p>
    <w:p>
      <w:pPr>
        <w:spacing w:line="360" w:lineRule="exact"/>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（八）加强课程教学体系建设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把企业技术革新项目作为人才培养的重要载体，使课程体系实现专业链与产业链、课程内容与职业标准、教学过程与生产过程对接。强化课程体系的应用性特点，全面推行基于实际应用的案例教学、项目教学和虚拟现实技术应用。将现代信息技术全面融入教学改革，推动信息化教学、虚拟现实技术教学、数字仿真实验教学、在线知识支持教学、在线教学质量监测的广泛应用。科学摆布公共课、通识课、专业课、选修课之间的关系，淡化课程设置的约束性，增强可选性，扩大学生自主学习、自主选择、自由发展空间。打破基于学科专业自身发展所形成的旧的课程体系，以突出应用性为根本建立健全新的课程衔接关系，推动专业设置、专业课程内容与职业标准相衔接，使新体系更加适应经济发展、产业升级和技术进步需要。将专业教育和创业教育有机融合，将创新创业教育融入人才培养全过程，通过调整专业课程设置挖掘和充实各类专业课程的创新创业教育资源，在传授专业知识过程中加大创新创业内容。2018年完成课程教学体系调整和改革全部任务，到2020年新课程教学体系优势应能得到充分显现。</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（九）加强教师队伍建设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稳定教师队伍，扩大队伍规模，提高队伍质量。自有教师数量不低于专任教师总数50%，专任教师中具有硕士、博士学位比例不低于50%，在编主讲教师具有讲师及以上专业技术职务或具有硕士、博士学位人数不低于90%，具有教授级专业技术职务人数不低于50人。改革教师聘任制度和评价办法，教师的任职资格既要满足对于学术水平的要求，又要满足对于专业实践能力的要求，教师队伍的整体特点要逐渐淡化“学术型”要求，强化理论与实践并重，强化具有相关企业的工作经历或专业实践经验。实施“青年教师实践能力拓展和提升计划”，遴选专业课、专业基础课中青年教师有计划分期分批到企业、科研机构进行工程实践训练。以专业带头人和教学名师为引领，重点培育具有创新能力和发展潜力的中青年教师队伍，为中青年骨干教师提供事业扶持和发展空间。实行新教师准入制，扎实推进和实施“新进教师教学能力提升计划”。2016年开始启动选送教师进企业的试点工作，以后逐年扩大选送规模，到“十三五”规划期末，全院所有承担专业核心课程教学工作的教师都要有过至少一次半年以上的接受企业培训或锻炼经历。积极引进或聘请行业公认专才、企业优秀专业技术人才、企业优秀管理人才和高技能人才作为专业建设带头人或担任专、兼职教师，扩展教师队伍的来源渠道。到“十三五”规划期末，从企业（行业）引进的专、兼职教师应不低于教师总数的15%，全院“双师双能型”教师占专任教师的比例达到50%以上。</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（十）打造优秀管理团队</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以从其他高校引进核心管理层优秀领军人才为主，着眼于加快培养现有管理队伍中优秀青年干部，逐步形成老中青相结合、梯队衔接序列合理的管理团队架构。到“十三五”规划期末，院级领导班子要有三分之一的中、青年干部，系（处）级干部队伍中，中、青年干部达到50%以上。建立领导干部岗位目标管理责任制，要求各级管理干部明确岗位职责，胜任岗位职责，履行岗位职责，善于谋划发展思路，善于驾驭工作全局，善于推行有效措施，不断提高管理水平和能力。对于水平不高、能力较弱、敷衍应付、长时间工作没有起色的干部要及时从管理岗位上撤下来。加强对干部队伍的教育培训，增强干部队伍的事业心和责任感，克服干部队伍中存在的避实就虚、推诿扯皮、上交矛盾、下卸责任的消极现象，使干部队伍真正能够肩负起推动学院建设发展的重任。</w:t>
      </w:r>
    </w:p>
    <w:p>
      <w:pPr>
        <w:spacing w:line="360" w:lineRule="exact"/>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（十一）加强教学管理队伍建设</w:t>
      </w:r>
    </w:p>
    <w:p>
      <w:pPr>
        <w:spacing w:line="360" w:lineRule="exact"/>
        <w:ind w:firstLine="480" w:firstLineChars="200"/>
        <w:rPr>
          <w:rFonts w:ascii="仿宋" w:hAnsi="仿宋" w:eastAsia="仿宋"/>
          <w:sz w:val="24"/>
          <w:szCs w:val="24"/>
        </w:rPr>
      </w:pPr>
      <w:r>
        <w:rPr>
          <w:rFonts w:ascii="仿宋" w:hAnsi="仿宋" w:eastAsia="仿宋"/>
          <w:sz w:val="24"/>
          <w:szCs w:val="24"/>
        </w:rPr>
        <w:t>我院</w:t>
      </w:r>
      <w:r>
        <w:rPr>
          <w:rFonts w:hint="eastAsia" w:ascii="仿宋" w:hAnsi="仿宋" w:eastAsia="仿宋"/>
          <w:sz w:val="24"/>
          <w:szCs w:val="24"/>
        </w:rPr>
        <w:t>教学管理队伍目前存在整体水平偏低，管理制度不完善且执行不严格，尚未形成真正意义上的两级管理模式，教学单位在教学管理方面的主体作用尚未发挥，质量监控体系的调控作用发挥不够等问题，上述问题要在“十三五”规划期内得到彻底解决。建立和完善结构较为合理、队伍基本稳定、服务意识较强、管理能力较强的教学管理、督导、研究队伍，培养或引进高端人才主持教学和管理关键岗位工作。建立和完善专职信息化管理队伍并不断提高队伍的管理水平，加强教学管理信息化建设，完善教学信息化管理平台，加大教学管理硬件配套设施投入，继续拓展URP高校教学管理系统的使用领域，进一步推动学院教学管理手段和管理方式的提升。设立专门机构全面和长期负责评建工作的统筹、研究、推动、落实，负责教学质量保证体系的设计、建设和质量监测，负责教学基本状态数据库的数据采集、更新和编报，负责与评估观测点相关的各类文件、资料、佐证材料的筛选、归集和分类存档，负责定期组织本科教学合格评估的自评工作并撰写年度《自评报告》。2017年本科教学校内评估工作正式展开。充分发挥系、部级在教学管理中的主体作用，加快形成在教学管理上的二级管理模式。组织力量大力开展教学管理研究，编辑刊发《教学管理研究辑刊》（内部交流），每个学年至少刊出两辑。</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（十二）加强学生工作队伍建设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按师生比不低于1：200标准配备专职辅导员，根据工作实际需要配备兼职班主任或指导教师，按师生比不低于1：5000标准配备心理健康专业教师且总数不少于2名。大学生学习指导、职业生涯规划指导、创业教育指导、就业指导与服务、家庭经济困难学生资助、心理健康咨询服务等项工作落到实处、全面开展且有专职人员负责。高度重视辅导员队伍建设，切实加强对辅导员工作的领导，严格辅导员队伍的准入标准，建立并完善辅导员队伍退出机制，在辅导员队伍的人员编制、办公条件、思想教育、工作指导、津贴福利等方面给予充分保障和有力支持。扩展辅导员个人的发展空间，辅导员可以根据自身特点和工作特长选择发展方向：可以评聘思想政治教育专业的专业技术职务，可以在辅导员岗位上提升行政级别（最高可以提至正处级辅导员）；工作业绩突出、管理能力强、适合于从事行政管理工作的可以聘任学校管理系列行政职务；在完成本职工作的同时攻读并取得其他专业的硕士或博士学位，具备从事其他专业教学工作条件的，可以聘任为其他专业的专任教师。</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（十三）加强教学质量保证体系建设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教学质量管理是教学工作的生命线。要强化教学工作的质量意识和质量管理，形成和完善教学工作的自我约束、自我诊断、自我控制、自我修复机制。教学管理部门和教学管理岗位工作人员要高度重视对教学工作关键环节和关键要素的分析和掌控，在质量目标和标准、组织机构及运行、过程管理与控制、实时监测与跟踪、质量分析与评估、条件支撑与保障等重要环节投入精力深入研究。2016年学院启动教学质量管理系统的开发和研制工作，组织专门力量牵头，发动各教学管理机构配合，2017年完成系统构建和保障体系建设，经一年试运行后，2018年起正式投入校内教学评估工作。注重教学质量评价的信息化建设，扩大信息管理系统的功能开发，开辟网上选课和网上评教项目，以信息化建设促进教学质量保障水平的提高。推进优质教学资源库建设，广泛收集名师课程、精品课程、特色课程等优质课程资源，实现多种优质教学资源基于数字化平台的集成共享，以构建高效、实用、开放、共享的数字化教学环境推动教学和学习质量的提高。</w:t>
      </w:r>
    </w:p>
    <w:p>
      <w:pPr>
        <w:spacing w:line="360" w:lineRule="exact"/>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（十四）加强教学环境建设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提升校园网络服务能力，通过对硬件平台及基础服务系统的优化、升级和改造，构建高安全、高稳定、易扩展、易维护的综合管理平台。完成校园无线覆盖，完成校园网万兆核心改造，启动校园网IPv6改造，实现CERNET2接入。制定校园安防监控系统改造方案、校园统一身份认证系统方案、集中数据平台建设方案，完善校园一卡通系统功能，提升图书文献、档案资料管理的数字化、信息化水平。不断提高学院安防工作水平，完善突发事件应急预案和预警机制。继续把杜绝火灾，杜绝食物中毒，杜绝人身伤害，杜绝各种恶性事故作为安全保卫工作的头等大事来抓。加强对重点要害部位、重点时段、重点区域的管理和监控，及时和彻底消除校园内各种不安全隐患。完善学生群体矛盾纠纷排查化解机制，切实做好重大节假日、纪念日、政治敏感期的稳定工作，深入排查可能引起群体事件的苗头和隐患，采取措施化解各种矛盾，确保校园不发生影响稳定的群体事件。深入开展平安校园、文明校园、绿色校园、和谐校园创建活动，大力开展丰富多彩的校园文化活动和群众性体育活动，传播正能量，宣传好故事，营造文明、健康、和谐、向上的校园环境。</w:t>
      </w:r>
    </w:p>
    <w:p>
      <w:pPr>
        <w:spacing w:line="360" w:lineRule="exact"/>
        <w:rPr>
          <w:rFonts w:ascii="仿宋" w:hAnsi="仿宋" w:eastAsia="仿宋"/>
          <w:sz w:val="24"/>
          <w:szCs w:val="24"/>
        </w:rPr>
      </w:pPr>
    </w:p>
    <w:p>
      <w:pPr>
        <w:spacing w:line="360" w:lineRule="exact"/>
        <w:jc w:val="center"/>
        <w:rPr>
          <w:rFonts w:ascii="黑体" w:hAnsi="黑体" w:eastAsia="黑体"/>
          <w:sz w:val="24"/>
          <w:szCs w:val="24"/>
        </w:rPr>
      </w:pPr>
      <w:r>
        <w:rPr>
          <w:rFonts w:hint="eastAsia" w:ascii="黑体" w:hAnsi="黑体" w:eastAsia="黑体"/>
          <w:sz w:val="24"/>
          <w:szCs w:val="24"/>
        </w:rPr>
        <w:t>四、推进学院转型发展</w:t>
      </w:r>
    </w:p>
    <w:p>
      <w:pPr>
        <w:spacing w:line="360" w:lineRule="exact"/>
        <w:jc w:val="center"/>
        <w:rPr>
          <w:rFonts w:ascii="黑体" w:hAnsi="黑体" w:eastAsia="黑体"/>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（十五）调整学科专业结构</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按照产业链对高层次技术技能人才需求和国家职业资格要求设置专业，根据区域工业化、信息化、城镇化和农业现代化建设以及国家产业结构调整需要，重点建设与实体经济、战略性新兴产业和现代服务业相关的工程、技术、管理类等紧缺专业，到“十三五”规划期末学院此类专业数应达到专业总数的70%左右。优先发展优势专业（集群），逐步培育学院的行业特色，扭转学科专业设置追求“综合性”,讲求“覆盖面”倾向，在现有专业架构基础上，将专业或专业集群向“工科”、“商科”两个方向集中，打造能够体现学校行业特色的专业结构特征。将服务同一产业链的关联专业组织为专业集群统筹管理和优先发展，逐步提高特色优势专业的集中度。健全专业设置随产业发展的动态调整机制，不断调整学科专业结构，推动学科专业设置与产业需求对接、与产业链、创新链对接，瞄准产业链、创新链的变化及时调整专业设置。“十三五”期间学院开设的专业数总体控制在25个左右。2016年学院特色优势专业在校生占在校生总规模比例不低于40%，到“十三五”规划期末该比例要达到80%以上。</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（十六）调整人才培养方案</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建立起应用型人才培养制度，建立起校企合作规划、合作治理、合作培养的办学机制，在培养方式上由学术性高等教育向大众化应用型高等教育转变。 科学设计知识、技术和实践深度结合的课程体系，将人才培养与行业、企业生产服务流程和价值创造过程高度融合。对各专业现行人才培养方案做全面调整，重点在以下4个方面取得重大突破：一是突出产教融合、协同育人培养模式，实现专业链与产业链、课程内容与职业标准、教学过程与生产过程对接。二是积极推进学分制和模块化教学管理方式，为不同来源的学生制定多样化人才培养方案，逐步扩大学生自主选择专业和课程的权利。三是积极推行基于实际应用的案例教学、项目教学和虚拟现实技术应用，专业课程运用真实任务、真实案例教学的比率要不断加大。四是加强实验、实训、实习环节，实习实训的课时占专业教学总课时的比例达到30%以上，学生参加实习实训的时间累计不能少于一年。2016年在计算机科学与技术系、电子信息工程系、工商管理系各选一个专业做试点，集中院、系两级力量研究攻关，至2016年底完成调整方案并总结经验进行推广。2017年选择基本具备调整条件的专业15个左右进行铺开，用一年的时间完成调整方案。同时对存在困难较多的其他专业有针对性地解决困难、排除障碍，到2018年底，实现所有专业的人才培养方案全部调整完毕。</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（十七）广泛开展校企合作</w:t>
      </w:r>
    </w:p>
    <w:p>
      <w:pPr>
        <w:spacing w:line="360" w:lineRule="exact"/>
        <w:ind w:firstLine="480" w:firstLineChars="200"/>
        <w:rPr>
          <w:rFonts w:ascii="仿宋" w:hAnsi="仿宋" w:eastAsia="仿宋"/>
          <w:sz w:val="24"/>
          <w:szCs w:val="24"/>
          <w:shd w:val="pct10" w:color="auto" w:fill="FFFFFF"/>
        </w:rPr>
      </w:pPr>
      <w:r>
        <w:rPr>
          <w:rFonts w:hint="eastAsia" w:ascii="仿宋" w:hAnsi="仿宋" w:eastAsia="仿宋"/>
          <w:sz w:val="24"/>
          <w:szCs w:val="24"/>
        </w:rPr>
        <w:t>学院转型的关键工作是建立校企合作培养机制，难点工作是寻找合适的企业建立合作关系。要集中精力、下大力气解决这一难点问题，组织专门队伍深入到地方经济和社会领域寻找解决问题的突破点。总结“十二五”时期我院计算机科学与技术类、电子信息工程类相关专业开展“3+1”校企合作人才培养模式的成功经验，在此基础上进一步探讨改进途径，提升校企合作层次，满足转型工作对于校企合作的内涵要求。确不适于开展校企合作的专业可以探索与相关的行业协会等组织建立联系，引进行业专业人才参与人才培养全过程，实现人才培养与行业服务流程和价值创造过程的高度融合。持续扩大与行业、企业的合作领域和合作深度，探讨建立学校与地方、行业、企业合作办学和合作治理机制，探讨与行业、企业建立稳定的合作关系并实行深度融合，探讨吸收地方、行业或用人单位参与学院理事会和专业指导委员会参与学校管理、专业建设、课程设置、人才培养和绩效评价。</w:t>
      </w:r>
    </w:p>
    <w:p>
      <w:pPr>
        <w:spacing w:line="360" w:lineRule="exact"/>
        <w:ind w:firstLine="480" w:firstLineChars="200"/>
        <w:rPr>
          <w:rFonts w:ascii="仿宋" w:hAnsi="仿宋" w:eastAsia="仿宋"/>
          <w:sz w:val="24"/>
          <w:szCs w:val="24"/>
          <w:shd w:val="pct10" w:color="auto" w:fill="FFFFFF"/>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（十八）强化教学实践环节</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充实实验实训条件，加大实践教学比例，实验课要按教学大纲要求全部开出。根据真实生产、服务的技术和工艺流程构建知识教育体系、技术技能训练体系和实验实训实习环境。加强实验实训条件建设，校内实习实训要能满足基础性、过程性、功能性实验要求，专业实验实训设备要根据相关企业技术进步要求及时更新或升级。要强化实验、实训、实习环节，实训、实习课时占专业教学总课时的比例要达到30%以上。大力加强对学生毕业设计（论文）的指导力度，按照转型要求全面创新指导理念和指导方法，在指导活动中突出对学生的应用性训练和创新性训练，着力培养学生独立思考、协同工作和创新创业能力。总结和推广近些年部分专业结合大四学年顶岗实习实训撰写毕业设计（论文）的做法，继续支持聘请企业、行业专业人员和高技能人才参与指导毕业设计（论文）的做法。鼓励学生把行业企业的一线需要作为毕业设计（论文）的选题来源，50%以上的毕业论文（设计）（包括艺术类的作品展示、管理类的社会调查报告）要在实验、实习、工程实践和社会调查等社会实践中完成。</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（十九）加强实习实训基地建设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继续加强校内实训基地建设，对已建成使用的计算机应用与软件技术、电工电子与自动化技术、土木建筑与测绘工程技术、工商贸易与财务管理实务、外语实践教学与综合训练等5个实训区按照转型要求改造和完善，增添仪器设备，扩大开放规模，完成专业实验实训设备的更新、升级、换代，最大限度满足人才培养方案和专业课程体系的转型要求。开启哈南校区实训基地建设项目。新基地要按照既符合专业设置要求，又能最大限度满足技术兼容性、功能扩展性和运行可持续性需要建设，辅助教学条件应当配套完备，实训流程应当符合技术层面循序渐进的要求。2016年开始制定新校区实习实训基地总体规划和建设方案并尽早开工，按容纳2000人规模完成基地住宿、餐饮、文体活动、自主学习场所等建设任务，完成相关配套设施建设和设备设施购置安装任务，2017年正式投入使用。加强与企业、行业和大型培训机构的联系，巩固“十二五”时期校外实训基地的建设成果，总结经验，规范管理，提升合法性和稳定性，使其成为校企合作的重要形式之一。</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cs="宋体"/>
          <w:bCs/>
          <w:kern w:val="0"/>
          <w:sz w:val="24"/>
          <w:szCs w:val="24"/>
        </w:rPr>
      </w:pPr>
      <w:r>
        <w:rPr>
          <w:rFonts w:hint="eastAsia" w:ascii="仿宋" w:hAnsi="仿宋" w:eastAsia="仿宋"/>
          <w:sz w:val="24"/>
          <w:szCs w:val="24"/>
        </w:rPr>
        <w:t>（二十）</w:t>
      </w:r>
      <w:r>
        <w:rPr>
          <w:rFonts w:hint="eastAsia" w:ascii="仿宋" w:hAnsi="仿宋" w:eastAsia="仿宋" w:cs="宋体"/>
          <w:bCs/>
          <w:kern w:val="0"/>
          <w:sz w:val="24"/>
          <w:szCs w:val="24"/>
        </w:rPr>
        <w:t>推进创新创业教育</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依据国家和省政府有关大学生创业就业工作的政策法规，制定完善我院促进大学生创业就业政策。开设创新创业教育课程并纳入学分管理，引进和聘请行业、企业优秀人才作为创新创业教育兼职教师，实行创新创业教育与专业教育有机融合。完善实施创新创业学分转换、实施弹性学制、保留学籍休学创新创业、设立创新创业奖学金等具体措施，对于由于创新创业的专业方向需要要求转入相关专业学习的学生提供积极支持。按不低于应届毕业生数1：500标准配备专职就业指导教师和专职就业工作人员。启动创业服务中心建设项目，设立大学生创业基金，为学生建立校内大学生创业基地，辟出专门场所建立大学生创业园（创客空间）。拓展创新创业教育的校外实践教育资源，搭建有利于专业教育与创新创业教育有机融合的创新创业实践平台。整合和利用好政府有关部门提供的创业优惠政策和社会公共资源，研究制定鼓励大学生创业的相关扶持政策、创业基金的使用管理办法等并付诸实施。</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（二十一）拓展职业培训规模</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在哈南校区组建职业技能和职业资格培训机构。该培机构以为校内学生服务为主，兼向社会开放，与已建立校企合作关系的合作企业培训、社会培训机构培训共同组成学生职业技能培训网络。该机构先期以开展职业资格考试培训为主，逐渐向职业技能培训发展，向与企业、行业、地方政府相关机构和各类经济园区开展广泛合作与交流方向发展，在专业技能培训、职业资格培训、就业信息采集和就业市场调研、国家就业优惠政策的研究和利用等方面为在校学生和社会有关职业青年提供高水平的培训服务。该项工作于2016年启动前期研究和筹建工作，2017年实现注册和试运行，到“十三五”规划期末，年培训规模达到2000人次以上。以加强对学生的职业培训为重要抓手，大力推动毕业生就业工作，确保“十三五”期间毕业生就业率稳定在90%以上。</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（二十二）推动应用领域的科研工作</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继续鼓励和支持教师开展学术领域的科学研究，积极申报较高层次的科研课题、出版具有较高学术价值的学术著作、在较高层次学术刊物上发表学术论文，省级以上科研课题结题数、出版学术著作和教材数、发表国际权威检索系统（SCI、EI、ISTP、</w:t>
      </w:r>
      <w:r>
        <w:rPr>
          <w:rFonts w:ascii="仿宋" w:hAnsi="仿宋" w:eastAsia="仿宋"/>
          <w:sz w:val="24"/>
          <w:szCs w:val="24"/>
        </w:rPr>
        <w:t>ISSHP</w:t>
      </w:r>
      <w:r>
        <w:rPr>
          <w:rFonts w:hint="eastAsia" w:ascii="仿宋" w:hAnsi="仿宋" w:eastAsia="仿宋"/>
          <w:sz w:val="24"/>
          <w:szCs w:val="24"/>
        </w:rPr>
        <w:t xml:space="preserve"> )检索的学术论文数比“十二五”有较大幅度提高。继续鼓励和支持教师开展教育、教学领域的科学研究，引导教师以我院的教育、教学活动作为研究对象，以多方面的研究成果推动我院教育、教学质量提高。大力推动教师和科技开发队伍积极融入以企业为主体的区域、行业技术创新体系，面向经济社会发展实际需求，以解决生产生活实际问题为导向，积极开展科技服务和应用性创新活动，积极开展技术推广、技术服务、成果转化和决策咨询，为行业、企业的技术应用和技术创新提供科技支持。鼓励教师以应用为驱动提高创新能力，调整科研方向，学院将面向行业特别是企业的授权专利数量、决策咨询、横向科研经费和获得地方、行业奖励情况作为衡量教师科技服务能力和水平的重要指标，引导教师将科研选项侧重于科技开发和科技应用研究，广泛开展面向中小微企业的技术服务。到“十三五”规划期末，直接服务于地方经济社会发展的科技开发和技术服务成为学院科研工作的主流。</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（二十三）加强国际交流与合作</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 xml:space="preserve">与国（境）外知名的应用技术型高校建立院校合作关系，系统引进其人才培养模式、培养标准、“师徒制”的技术技能型教学方式、应用技术型的专业课程等优质教育资源。开发与国际先进标准对接的专业标准和课程体系，开展与国（境）外高水平应用技术型高校互派教师、互换学生、合作办学等项目，进而扩大与国外应用技术型高校联盟、协会开展对等合作。探讨与国家或地方教育援外、对外投资、“一带一路”等重大项目相结合“走出去”的可行性途径，培养符合中国企业海外生产经营需求的本土化人才。引进先进的创新创业管理培训项目共同开展针对中小微企业、家族企业的创业和管理培训。开展科技服务和科研课题等项目的国际合作，重点开展养老服务、新型城镇化、旅游及酒店管理等现代服务业领域中与我省战略新兴产业关联度较高的课题研究，促进学院相关学科的发展和培育学院专业特色优势。 </w:t>
      </w:r>
    </w:p>
    <w:p>
      <w:pPr>
        <w:spacing w:line="360" w:lineRule="exact"/>
        <w:rPr>
          <w:rFonts w:ascii="仿宋" w:hAnsi="仿宋" w:eastAsia="仿宋"/>
          <w:sz w:val="24"/>
          <w:szCs w:val="24"/>
        </w:rPr>
      </w:pPr>
    </w:p>
    <w:p>
      <w:pPr>
        <w:spacing w:line="360" w:lineRule="exact"/>
        <w:jc w:val="center"/>
        <w:rPr>
          <w:rFonts w:hint="eastAsia" w:ascii="黑体" w:hAnsi="黑体" w:eastAsia="黑体"/>
          <w:sz w:val="24"/>
          <w:szCs w:val="24"/>
        </w:rPr>
      </w:pPr>
    </w:p>
    <w:p>
      <w:pPr>
        <w:spacing w:line="360" w:lineRule="exact"/>
        <w:jc w:val="center"/>
        <w:rPr>
          <w:rFonts w:ascii="黑体" w:hAnsi="黑体" w:eastAsia="黑体"/>
          <w:sz w:val="24"/>
          <w:szCs w:val="24"/>
        </w:rPr>
      </w:pPr>
      <w:r>
        <w:rPr>
          <w:rFonts w:hint="eastAsia" w:ascii="黑体" w:hAnsi="黑体" w:eastAsia="黑体"/>
          <w:sz w:val="24"/>
          <w:szCs w:val="24"/>
        </w:rPr>
        <w:t>五、加强学院软实力建设</w:t>
      </w:r>
    </w:p>
    <w:p>
      <w:pPr>
        <w:spacing w:line="360" w:lineRule="exact"/>
        <w:jc w:val="center"/>
        <w:rPr>
          <w:rFonts w:ascii="黑体" w:hAnsi="黑体" w:eastAsia="黑体"/>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（二十四）加强党的基层组织建设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充分发挥学院党委政治核心作用和思想政治工作领域的领导作用，坚持党要管党、从严治党，以改革创新精神全面推进党的建设新的伟大工程，保持和发展党的先进性、纯洁性，保证学院发展不偏离正确方向，运行不偏离健康轨道。大力加强学院各级党的基层组织建设，强化基层党组织整体功能，充分发挥基层组织的战斗堡垒作用和党员先锋模范作用，按着中央要求开展好“两学一做”学习教育活动，充分调动各级干部干事创业积极性、主动性、创造性，形成各级党组织和广大党员带领师生员工齐心协力推进高水平应用型学院建设的浓厚氛围。大力加强</w:t>
      </w:r>
      <w:r>
        <w:rPr>
          <w:rFonts w:hint="eastAsia" w:ascii="仿宋" w:hAnsi="仿宋" w:eastAsia="仿宋" w:cs="宋体"/>
          <w:bCs/>
          <w:kern w:val="0"/>
          <w:sz w:val="24"/>
          <w:szCs w:val="24"/>
        </w:rPr>
        <w:t>党风廉政建设，</w:t>
      </w:r>
      <w:r>
        <w:rPr>
          <w:rFonts w:hint="eastAsia" w:ascii="仿宋" w:hAnsi="仿宋" w:eastAsia="仿宋"/>
          <w:sz w:val="24"/>
          <w:szCs w:val="24"/>
        </w:rPr>
        <w:t>坚持全面从严治党，落实“三严三实”要求，严明党的纪律和规矩，落实党风廉政建设主体责任和监督责任，强化责任追究。贯彻中央八项规定精神，坚持不懈纠正“四风”，健全改进作风长效机制。坚决整治和纠正侵害群众利益的不正之风和腐败问题，努力实现干部清正、政治清明，为学院的事业发展营造良好政治生态。</w:t>
      </w:r>
    </w:p>
    <w:p>
      <w:pPr>
        <w:spacing w:line="360" w:lineRule="exact"/>
        <w:ind w:firstLine="480" w:firstLineChars="200"/>
        <w:rPr>
          <w:rFonts w:ascii="仿宋" w:hAnsi="仿宋" w:eastAsia="仿宋"/>
          <w:sz w:val="24"/>
          <w:szCs w:val="24"/>
          <w:shd w:val="clear" w:color="auto" w:fill="FFFFFF"/>
        </w:rPr>
      </w:pPr>
    </w:p>
    <w:p>
      <w:pPr>
        <w:spacing w:line="360" w:lineRule="exact"/>
        <w:ind w:firstLine="480" w:firstLineChars="200"/>
        <w:rPr>
          <w:rFonts w:ascii="仿宋" w:hAnsi="仿宋" w:eastAsia="仿宋"/>
          <w:sz w:val="24"/>
          <w:szCs w:val="24"/>
        </w:rPr>
      </w:pPr>
      <w:r>
        <w:rPr>
          <w:rFonts w:hint="eastAsia" w:ascii="仿宋" w:hAnsi="仿宋" w:eastAsia="仿宋"/>
          <w:sz w:val="24"/>
          <w:szCs w:val="24"/>
          <w:shd w:val="clear" w:color="auto" w:fill="FFFFFF"/>
        </w:rPr>
        <w:t>（二十五）加强思想政治和精神文明建设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大力加强学院思想政治工作，不断增强广大师生员工对马克思主义的信仰，对共产主义的信念，对中国特色社会主义的信心和对以习近平同志为总书记的党中央的信赖。</w:t>
      </w:r>
      <w:r>
        <w:rPr>
          <w:rStyle w:val="10"/>
          <w:rFonts w:hint="eastAsia" w:ascii="仿宋" w:hAnsi="仿宋" w:eastAsia="仿宋"/>
          <w:b w:val="0"/>
          <w:sz w:val="24"/>
          <w:szCs w:val="24"/>
        </w:rPr>
        <w:t>把培育和践行社会主义核心价值观融入教书育人全过程，推进中国特色社会主义理论体系进教材、进课堂、进学生头脑。</w:t>
      </w:r>
      <w:r>
        <w:rPr>
          <w:rFonts w:hint="eastAsia" w:ascii="仿宋" w:hAnsi="仿宋" w:eastAsia="仿宋"/>
          <w:sz w:val="24"/>
          <w:szCs w:val="24"/>
        </w:rPr>
        <w:t>通过教育引导、舆论宣传、文化熏陶、实践养成、制度保障等，使社会主义核心价值观内化为师生员工的精神追求，外化为师生员工的自觉行动。把思想政治工作贯穿于学院所开展的各种活动，多做组织群众、宣传群众、教育群众、引导群众的工作，多做统一思想、凝聚人心、化解矛盾、增进感情、激发动力的工作，促进校园和谐和人们的心理和谐，</w:t>
      </w:r>
      <w:r>
        <w:rPr>
          <w:rStyle w:val="10"/>
          <w:rFonts w:hint="eastAsia" w:ascii="仿宋" w:hAnsi="仿宋" w:eastAsia="仿宋"/>
          <w:b w:val="0"/>
          <w:sz w:val="24"/>
          <w:szCs w:val="24"/>
        </w:rPr>
        <w:t>提高学院精神文明水平，争创省级“文明单位”</w:t>
      </w:r>
      <w:r>
        <w:rPr>
          <w:rFonts w:hint="eastAsia" w:ascii="仿宋" w:hAnsi="仿宋" w:eastAsia="仿宋"/>
          <w:sz w:val="24"/>
          <w:szCs w:val="24"/>
        </w:rPr>
        <w:t>。大力加强意识形态领域工作，建立健全党委统一领导、党政工团齐抓共管、宣传部门牵头协调、有关部门和单位共同参与的宣传思想工作机制，将党中央加强意识形态工作的战略部署落实到学院办学的具体实践之中。</w:t>
      </w:r>
    </w:p>
    <w:p>
      <w:pPr>
        <w:spacing w:line="360" w:lineRule="exact"/>
        <w:rPr>
          <w:rFonts w:ascii="仿宋" w:hAnsi="仿宋" w:eastAsia="仿宋"/>
          <w:sz w:val="24"/>
          <w:szCs w:val="24"/>
          <w:shd w:val="clear" w:color="auto" w:fill="FFFFFF"/>
        </w:rPr>
      </w:pPr>
    </w:p>
    <w:p>
      <w:pPr>
        <w:spacing w:line="360" w:lineRule="exact"/>
        <w:ind w:firstLine="480" w:firstLineChars="200"/>
        <w:rPr>
          <w:rFonts w:ascii="仿宋" w:hAnsi="仿宋" w:eastAsia="仿宋"/>
          <w:sz w:val="24"/>
          <w:szCs w:val="24"/>
          <w:shd w:val="clear" w:color="auto" w:fill="FFFFFF"/>
        </w:rPr>
      </w:pPr>
      <w:r>
        <w:rPr>
          <w:rFonts w:hint="eastAsia" w:ascii="仿宋" w:hAnsi="仿宋" w:eastAsia="仿宋"/>
          <w:sz w:val="24"/>
          <w:szCs w:val="24"/>
          <w:shd w:val="clear" w:color="auto" w:fill="FFFFFF"/>
        </w:rPr>
        <w:t>（二十六）完善核心政策制度体系</w:t>
      </w:r>
    </w:p>
    <w:p>
      <w:pPr>
        <w:spacing w:line="360" w:lineRule="exact"/>
        <w:ind w:firstLine="480" w:firstLineChars="200"/>
        <w:rPr>
          <w:rFonts w:ascii="仿宋" w:hAnsi="仿宋" w:eastAsia="仿宋"/>
          <w:sz w:val="24"/>
          <w:szCs w:val="24"/>
          <w:shd w:val="clear" w:color="auto" w:fill="FFFFFF"/>
        </w:rPr>
      </w:pPr>
      <w:r>
        <w:rPr>
          <w:rFonts w:hint="eastAsia" w:ascii="仿宋" w:hAnsi="仿宋" w:eastAsia="仿宋"/>
          <w:sz w:val="24"/>
          <w:szCs w:val="24"/>
        </w:rPr>
        <w:t>坚持依法治校与以德治校相结合的原则，以学院章程为核心，完善与学院章程相配套的各项规章制度，使之</w:t>
      </w:r>
      <w:r>
        <w:rPr>
          <w:rFonts w:ascii="仿宋" w:hAnsi="仿宋" w:eastAsia="仿宋" w:cs="Arial"/>
          <w:sz w:val="24"/>
          <w:szCs w:val="24"/>
          <w:shd w:val="clear" w:color="auto" w:fill="FFFFFF"/>
        </w:rPr>
        <w:t>进一步系统化、规范化和全覆盖</w:t>
      </w:r>
      <w:r>
        <w:rPr>
          <w:rFonts w:hint="eastAsia" w:ascii="仿宋" w:hAnsi="仿宋" w:eastAsia="仿宋" w:cs="Arial"/>
          <w:sz w:val="24"/>
          <w:szCs w:val="24"/>
          <w:shd w:val="clear" w:color="auto" w:fill="FFFFFF"/>
        </w:rPr>
        <w:t>，</w:t>
      </w:r>
      <w:r>
        <w:rPr>
          <w:rFonts w:hint="eastAsia" w:ascii="仿宋" w:hAnsi="仿宋" w:eastAsia="仿宋"/>
          <w:sz w:val="24"/>
          <w:szCs w:val="24"/>
        </w:rPr>
        <w:t>有效形成以制度管权、按制度管事、靠制度管人的长效管理机制。要消除制度制订的初衷与制度执行的效果间的落差，将规章制度的静态规则与执行过程中的动态监督紧密结合，强化规则与效果间的一致性。</w:t>
      </w:r>
      <w:r>
        <w:rPr>
          <w:rFonts w:ascii="仿宋" w:hAnsi="仿宋" w:eastAsia="仿宋"/>
          <w:sz w:val="24"/>
          <w:szCs w:val="24"/>
        </w:rPr>
        <w:t xml:space="preserve"> </w:t>
      </w:r>
      <w:r>
        <w:rPr>
          <w:rFonts w:hint="eastAsia" w:ascii="仿宋" w:hAnsi="仿宋" w:eastAsia="仿宋"/>
          <w:sz w:val="24"/>
          <w:szCs w:val="24"/>
          <w:shd w:val="clear" w:color="auto" w:fill="FFFFFF"/>
        </w:rPr>
        <w:t>依据本规划提出的指导思想、工作思路、发展目标、发展任务要求，对学院原有的重要政策、规章、制度进行全面修订，属于缺项的要补足，属于短板的要补齐。按照学院加强实力建设、推进转型发展的新思路新要求，配套出台一批必要的政策措施，与原有的主要规章制度共同构建学院的核心政策制度体系，以充分发挥学院政策制度体系在调动积极因素、促进健康发展上的引领和保障作用。</w:t>
      </w:r>
    </w:p>
    <w:p>
      <w:pPr>
        <w:spacing w:line="360" w:lineRule="exact"/>
        <w:ind w:firstLine="480" w:firstLineChars="200"/>
        <w:rPr>
          <w:rFonts w:ascii="仿宋" w:hAnsi="仿宋" w:eastAsia="仿宋"/>
          <w:sz w:val="24"/>
          <w:szCs w:val="24"/>
          <w:shd w:val="clear" w:color="auto" w:fill="FFFFFF"/>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（二十七）加强教风学风建设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以思想教育和制度规范引领广大教师提高思想政治觉悟和政治理论水平，坚持以正确的世界观、人生观、价值观和优良的政治素质、良好的道德品格启迪和引领学生。规范教师的教学行为，提高教师的教学质量，强化教师的师德修养，增强教师遵章守纪的自觉性，号召教师既要做好“经师”，又要做好“人师”，着力在教师队伍中培育服务学生、勤于治学、严守纪律、规范执教的舆论环境。发挥思想政治理论课的主渠道作用，加强对学生的理想信念教育、社会主义核心价值观教育和世界观、人生观、价值观教育。以 “四讲四重”（讲法纪重礼仪、讲诚信重义务、讲担当重责任、讲感恩重忠孝）、“三有三会”（有知识、有技术、有证书，会沟通、会外语、会网络）为重点，提升学生的培养规格。完善学生心理健康教育机制，创新学生心理健康教育方法，提高学生心理健康水平和社会适应能力，促进学生良好心理品质和健康人格的形成。以正风、肃纪、督查为手段，以规范学生行为为重点，健全和完善学生管理规章制度，抓住教师与学生和教与学两个环节，以教风带学风，以管理育学风，以制度正学风，不断强化学生管理工作。开展多种形式、多项内容的养成教育，将社会主义荣辱观教育、校风校纪教育、优秀文化和传统美德教育、以爱国主义为核心的民族精神、时代精神、公民意识教育融入各种教育活动之中。完善学生舆情信息工作机制，完善学生心理危机预防和干预机制，对学生心理障碍问题早发现、早预防、早疏导，杜绝恶性心理问题事件发生。</w:t>
      </w:r>
    </w:p>
    <w:p>
      <w:pPr>
        <w:spacing w:line="360" w:lineRule="exact"/>
        <w:ind w:firstLine="480" w:firstLineChars="200"/>
        <w:rPr>
          <w:rFonts w:ascii="仿宋" w:hAnsi="仿宋" w:eastAsia="仿宋"/>
          <w:sz w:val="24"/>
          <w:szCs w:val="24"/>
        </w:rPr>
      </w:pPr>
    </w:p>
    <w:p>
      <w:pPr>
        <w:spacing w:line="360" w:lineRule="exact"/>
        <w:ind w:firstLine="480" w:firstLineChars="200"/>
        <w:rPr>
          <w:rFonts w:ascii="仿宋" w:hAnsi="仿宋" w:eastAsia="仿宋"/>
          <w:sz w:val="24"/>
          <w:szCs w:val="24"/>
        </w:rPr>
      </w:pPr>
      <w:r>
        <w:rPr>
          <w:rFonts w:hint="eastAsia" w:ascii="仿宋" w:hAnsi="仿宋" w:eastAsia="仿宋"/>
          <w:sz w:val="24"/>
          <w:szCs w:val="24"/>
        </w:rPr>
        <w:t>（二十八）加强向心力和凝聚力建设</w:t>
      </w:r>
    </w:p>
    <w:p>
      <w:pPr>
        <w:spacing w:line="360" w:lineRule="exact"/>
        <w:ind w:firstLine="480" w:firstLineChars="200"/>
        <w:rPr>
          <w:rFonts w:ascii="仿宋" w:hAnsi="仿宋" w:eastAsia="仿宋"/>
          <w:sz w:val="24"/>
          <w:szCs w:val="24"/>
        </w:rPr>
      </w:pPr>
      <w:r>
        <w:rPr>
          <w:rFonts w:hint="eastAsia" w:ascii="仿宋" w:hAnsi="仿宋" w:eastAsia="仿宋"/>
          <w:sz w:val="24"/>
          <w:szCs w:val="24"/>
        </w:rPr>
        <w:t>学院领导团队要加强学习，加强能力水平建设，牢固树立以人为本思想，清醒认识到增强队伍的向心力和凝聚力是学院软实力建设的核心内容，不断培育教职工对学院的归属感和认同感。领导团队要正确行使职权，着眼于推动事业新发展和回应师生员工新期待，在为学院谋求更大发展空间的同时，善于兼顾职工个人的不同层次需要，善于调动各方面的积极性、主动性和创造性，使职工队伍的公平感、归属感、成就感、获得感不断提升。重视职工收入分配的公正性和合理性，培育鼓励先进、鞭策后进的激励机制。加强党委对工会、共青团、学生会等群团组织的领导，健全工会（教代会）制度，充分发挥民主党派、</w:t>
      </w:r>
      <w:r>
        <w:rPr>
          <w:rFonts w:hint="eastAsia" w:ascii="仿宋" w:hAnsi="仿宋" w:eastAsia="仿宋"/>
          <w:sz w:val="24"/>
          <w:szCs w:val="24"/>
          <w:shd w:val="clear" w:color="auto" w:fill="FFFFFF"/>
        </w:rPr>
        <w:t>工会（教代会）等</w:t>
      </w:r>
      <w:r>
        <w:rPr>
          <w:rFonts w:hint="eastAsia" w:ascii="仿宋" w:hAnsi="仿宋" w:eastAsia="仿宋"/>
          <w:sz w:val="24"/>
          <w:szCs w:val="24"/>
        </w:rPr>
        <w:t>群团组织</w:t>
      </w:r>
      <w:r>
        <w:rPr>
          <w:rFonts w:hint="eastAsia" w:ascii="仿宋" w:hAnsi="仿宋" w:eastAsia="仿宋"/>
          <w:sz w:val="24"/>
          <w:szCs w:val="24"/>
          <w:shd w:val="clear" w:color="auto" w:fill="FFFFFF"/>
        </w:rPr>
        <w:t>参与学院民主管理和建言献策作用，</w:t>
      </w:r>
      <w:r>
        <w:rPr>
          <w:rFonts w:ascii="仿宋" w:hAnsi="仿宋" w:eastAsia="仿宋"/>
          <w:sz w:val="24"/>
          <w:szCs w:val="24"/>
        </w:rPr>
        <w:t xml:space="preserve"> </w:t>
      </w:r>
      <w:r>
        <w:rPr>
          <w:rFonts w:hint="eastAsia" w:ascii="仿宋" w:hAnsi="仿宋" w:eastAsia="仿宋"/>
          <w:sz w:val="24"/>
          <w:szCs w:val="24"/>
          <w:shd w:val="clear" w:color="auto" w:fill="FFFFFF"/>
        </w:rPr>
        <w:t>涉及学院发展的重大事项提交教职工代表大会讨论。切实尊重知识、尊重人才、保护教职工合法权益。</w:t>
      </w:r>
      <w:r>
        <w:rPr>
          <w:rFonts w:hint="eastAsia" w:ascii="仿宋" w:hAnsi="仿宋" w:eastAsia="仿宋"/>
          <w:sz w:val="24"/>
          <w:szCs w:val="24"/>
        </w:rPr>
        <w:t>坚持校务公开制度，</w:t>
      </w:r>
      <w:r>
        <w:rPr>
          <w:rFonts w:hint="eastAsia" w:ascii="仿宋" w:hAnsi="仿宋" w:eastAsia="仿宋"/>
          <w:sz w:val="24"/>
          <w:szCs w:val="24"/>
          <w:shd w:val="clear" w:color="auto" w:fill="FFFFFF"/>
        </w:rPr>
        <w:t>落实教职工的知情权、表达权、参与权和监督权。</w:t>
      </w:r>
      <w:r>
        <w:rPr>
          <w:rFonts w:hint="eastAsia" w:ascii="仿宋" w:hAnsi="仿宋" w:eastAsia="仿宋"/>
          <w:sz w:val="24"/>
          <w:szCs w:val="24"/>
        </w:rPr>
        <w:t>依法保护教师、学生合法权益，畅通教师、学生诉求表达通道，</w:t>
      </w:r>
      <w:r>
        <w:rPr>
          <w:rFonts w:hint="eastAsia" w:ascii="仿宋" w:hAnsi="仿宋" w:eastAsia="仿宋"/>
          <w:sz w:val="24"/>
          <w:szCs w:val="24"/>
          <w:shd w:val="clear" w:color="auto" w:fill="FFFFFF"/>
        </w:rPr>
        <w:t>保证师生员工的意见和建议得到充分重视、合理诉求和合法权益得到充分保护。</w:t>
      </w:r>
    </w:p>
    <w:sectPr>
      <w:type w:val="continuous"/>
      <w:pgSz w:w="11906" w:h="16838"/>
      <w:pgMar w:top="1440" w:right="1797" w:bottom="1440" w:left="1797" w:header="851" w:footer="992" w:gutter="0"/>
      <w:cols w:space="425" w:num="1"/>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0674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FC"/>
    <w:rsid w:val="000006D9"/>
    <w:rsid w:val="00000A53"/>
    <w:rsid w:val="00003104"/>
    <w:rsid w:val="000069A4"/>
    <w:rsid w:val="00007C10"/>
    <w:rsid w:val="00014C70"/>
    <w:rsid w:val="00014F23"/>
    <w:rsid w:val="00016B67"/>
    <w:rsid w:val="00016BB7"/>
    <w:rsid w:val="00020EC5"/>
    <w:rsid w:val="000213E4"/>
    <w:rsid w:val="0002365E"/>
    <w:rsid w:val="00024CAF"/>
    <w:rsid w:val="000274F2"/>
    <w:rsid w:val="00027BBC"/>
    <w:rsid w:val="00032C6A"/>
    <w:rsid w:val="00037E67"/>
    <w:rsid w:val="00040F80"/>
    <w:rsid w:val="0004471F"/>
    <w:rsid w:val="00055E33"/>
    <w:rsid w:val="00056E55"/>
    <w:rsid w:val="00057B5A"/>
    <w:rsid w:val="00061D27"/>
    <w:rsid w:val="00062B0A"/>
    <w:rsid w:val="00063D8F"/>
    <w:rsid w:val="00066EC2"/>
    <w:rsid w:val="000707AA"/>
    <w:rsid w:val="00071D35"/>
    <w:rsid w:val="000725E7"/>
    <w:rsid w:val="00072671"/>
    <w:rsid w:val="000824CC"/>
    <w:rsid w:val="00083096"/>
    <w:rsid w:val="00083324"/>
    <w:rsid w:val="00085A90"/>
    <w:rsid w:val="00085EAF"/>
    <w:rsid w:val="00086199"/>
    <w:rsid w:val="0009058D"/>
    <w:rsid w:val="00093F17"/>
    <w:rsid w:val="00094073"/>
    <w:rsid w:val="00094575"/>
    <w:rsid w:val="000A3486"/>
    <w:rsid w:val="000A4161"/>
    <w:rsid w:val="000A75CD"/>
    <w:rsid w:val="000B108C"/>
    <w:rsid w:val="000B4238"/>
    <w:rsid w:val="000B56B9"/>
    <w:rsid w:val="000B58A1"/>
    <w:rsid w:val="000B608E"/>
    <w:rsid w:val="000C176C"/>
    <w:rsid w:val="000C372B"/>
    <w:rsid w:val="000C451D"/>
    <w:rsid w:val="000C79FC"/>
    <w:rsid w:val="000D2574"/>
    <w:rsid w:val="000D291B"/>
    <w:rsid w:val="000D4C23"/>
    <w:rsid w:val="000D7251"/>
    <w:rsid w:val="000E2ACC"/>
    <w:rsid w:val="000E5D91"/>
    <w:rsid w:val="000F0A57"/>
    <w:rsid w:val="000F0AA8"/>
    <w:rsid w:val="000F3645"/>
    <w:rsid w:val="000F4F27"/>
    <w:rsid w:val="000F5EE3"/>
    <w:rsid w:val="000F763C"/>
    <w:rsid w:val="001003EE"/>
    <w:rsid w:val="001012CF"/>
    <w:rsid w:val="001054D8"/>
    <w:rsid w:val="001054E2"/>
    <w:rsid w:val="00111752"/>
    <w:rsid w:val="00112E87"/>
    <w:rsid w:val="00113070"/>
    <w:rsid w:val="00116D47"/>
    <w:rsid w:val="00121E89"/>
    <w:rsid w:val="001234C2"/>
    <w:rsid w:val="00125134"/>
    <w:rsid w:val="0013073F"/>
    <w:rsid w:val="00133F9C"/>
    <w:rsid w:val="00134983"/>
    <w:rsid w:val="00136320"/>
    <w:rsid w:val="00140020"/>
    <w:rsid w:val="00140CF6"/>
    <w:rsid w:val="00142827"/>
    <w:rsid w:val="0014665E"/>
    <w:rsid w:val="00146910"/>
    <w:rsid w:val="00147AEB"/>
    <w:rsid w:val="00151543"/>
    <w:rsid w:val="001519C9"/>
    <w:rsid w:val="00152004"/>
    <w:rsid w:val="00153CD3"/>
    <w:rsid w:val="00153E73"/>
    <w:rsid w:val="00156B3B"/>
    <w:rsid w:val="00156F3B"/>
    <w:rsid w:val="00160CDC"/>
    <w:rsid w:val="00170A08"/>
    <w:rsid w:val="0017582E"/>
    <w:rsid w:val="0017788F"/>
    <w:rsid w:val="0018037A"/>
    <w:rsid w:val="00182C33"/>
    <w:rsid w:val="00184EC3"/>
    <w:rsid w:val="00184F38"/>
    <w:rsid w:val="00187D6C"/>
    <w:rsid w:val="00192B43"/>
    <w:rsid w:val="00197765"/>
    <w:rsid w:val="001A3BB5"/>
    <w:rsid w:val="001A49AA"/>
    <w:rsid w:val="001A575F"/>
    <w:rsid w:val="001A582F"/>
    <w:rsid w:val="001A78D0"/>
    <w:rsid w:val="001A7928"/>
    <w:rsid w:val="001B0C99"/>
    <w:rsid w:val="001B106E"/>
    <w:rsid w:val="001B142A"/>
    <w:rsid w:val="001B2C28"/>
    <w:rsid w:val="001B2F02"/>
    <w:rsid w:val="001B3D18"/>
    <w:rsid w:val="001B4BCF"/>
    <w:rsid w:val="001B6034"/>
    <w:rsid w:val="001B6140"/>
    <w:rsid w:val="001B6923"/>
    <w:rsid w:val="001C1B07"/>
    <w:rsid w:val="001C2721"/>
    <w:rsid w:val="001C51A8"/>
    <w:rsid w:val="001C55F2"/>
    <w:rsid w:val="001C56AF"/>
    <w:rsid w:val="001D0355"/>
    <w:rsid w:val="001D39C2"/>
    <w:rsid w:val="001D48B6"/>
    <w:rsid w:val="001D5E9B"/>
    <w:rsid w:val="001D75BA"/>
    <w:rsid w:val="001D75DE"/>
    <w:rsid w:val="001E3EDA"/>
    <w:rsid w:val="001E4869"/>
    <w:rsid w:val="001E655B"/>
    <w:rsid w:val="001E6915"/>
    <w:rsid w:val="001F0FB8"/>
    <w:rsid w:val="001F1930"/>
    <w:rsid w:val="001F4162"/>
    <w:rsid w:val="001F50C5"/>
    <w:rsid w:val="001F5FC5"/>
    <w:rsid w:val="001F6F19"/>
    <w:rsid w:val="002032F9"/>
    <w:rsid w:val="00203EC2"/>
    <w:rsid w:val="002057D9"/>
    <w:rsid w:val="00205DD6"/>
    <w:rsid w:val="00206E19"/>
    <w:rsid w:val="00213D3E"/>
    <w:rsid w:val="00217827"/>
    <w:rsid w:val="0022185E"/>
    <w:rsid w:val="00230C8C"/>
    <w:rsid w:val="00234A4E"/>
    <w:rsid w:val="00235927"/>
    <w:rsid w:val="0023622A"/>
    <w:rsid w:val="002451DF"/>
    <w:rsid w:val="00245860"/>
    <w:rsid w:val="00245D52"/>
    <w:rsid w:val="00250BD4"/>
    <w:rsid w:val="00250C7D"/>
    <w:rsid w:val="0025173A"/>
    <w:rsid w:val="002539AE"/>
    <w:rsid w:val="00253F16"/>
    <w:rsid w:val="00255628"/>
    <w:rsid w:val="002572EF"/>
    <w:rsid w:val="0026011A"/>
    <w:rsid w:val="00263625"/>
    <w:rsid w:val="00265466"/>
    <w:rsid w:val="00265FA0"/>
    <w:rsid w:val="00273009"/>
    <w:rsid w:val="00273BDE"/>
    <w:rsid w:val="00274EB4"/>
    <w:rsid w:val="0027712C"/>
    <w:rsid w:val="00277294"/>
    <w:rsid w:val="002772EF"/>
    <w:rsid w:val="00282864"/>
    <w:rsid w:val="002832E6"/>
    <w:rsid w:val="00283B1E"/>
    <w:rsid w:val="00284D47"/>
    <w:rsid w:val="00284F51"/>
    <w:rsid w:val="00291D94"/>
    <w:rsid w:val="002958E7"/>
    <w:rsid w:val="00295FA2"/>
    <w:rsid w:val="002A07C4"/>
    <w:rsid w:val="002A21EA"/>
    <w:rsid w:val="002A3591"/>
    <w:rsid w:val="002C0C0B"/>
    <w:rsid w:val="002C347E"/>
    <w:rsid w:val="002D3732"/>
    <w:rsid w:val="002D3878"/>
    <w:rsid w:val="002D4B72"/>
    <w:rsid w:val="002D52E5"/>
    <w:rsid w:val="002E030E"/>
    <w:rsid w:val="002E5427"/>
    <w:rsid w:val="002F3868"/>
    <w:rsid w:val="002F47A9"/>
    <w:rsid w:val="00301851"/>
    <w:rsid w:val="00307483"/>
    <w:rsid w:val="00316CA4"/>
    <w:rsid w:val="00321EC9"/>
    <w:rsid w:val="00322D7F"/>
    <w:rsid w:val="0032681F"/>
    <w:rsid w:val="00330A1B"/>
    <w:rsid w:val="00331071"/>
    <w:rsid w:val="00333172"/>
    <w:rsid w:val="0033448C"/>
    <w:rsid w:val="00334798"/>
    <w:rsid w:val="0033546D"/>
    <w:rsid w:val="0033675F"/>
    <w:rsid w:val="0034042A"/>
    <w:rsid w:val="0034409C"/>
    <w:rsid w:val="003457FB"/>
    <w:rsid w:val="00345E2C"/>
    <w:rsid w:val="00345F86"/>
    <w:rsid w:val="00346B6D"/>
    <w:rsid w:val="00351144"/>
    <w:rsid w:val="0035330F"/>
    <w:rsid w:val="0036608F"/>
    <w:rsid w:val="0036647F"/>
    <w:rsid w:val="00370812"/>
    <w:rsid w:val="00370AAC"/>
    <w:rsid w:val="0037201D"/>
    <w:rsid w:val="0037549D"/>
    <w:rsid w:val="00377887"/>
    <w:rsid w:val="00381B70"/>
    <w:rsid w:val="00385CE3"/>
    <w:rsid w:val="00390914"/>
    <w:rsid w:val="00391C1B"/>
    <w:rsid w:val="00392741"/>
    <w:rsid w:val="00392B58"/>
    <w:rsid w:val="00397D5F"/>
    <w:rsid w:val="003A0849"/>
    <w:rsid w:val="003A0951"/>
    <w:rsid w:val="003A6704"/>
    <w:rsid w:val="003B2B06"/>
    <w:rsid w:val="003B6876"/>
    <w:rsid w:val="003C2960"/>
    <w:rsid w:val="003D03D3"/>
    <w:rsid w:val="003D0D67"/>
    <w:rsid w:val="003D336C"/>
    <w:rsid w:val="003E04F4"/>
    <w:rsid w:val="003E227C"/>
    <w:rsid w:val="003E2878"/>
    <w:rsid w:val="003E3B00"/>
    <w:rsid w:val="003E7251"/>
    <w:rsid w:val="003E7814"/>
    <w:rsid w:val="003F06C9"/>
    <w:rsid w:val="003F530B"/>
    <w:rsid w:val="003F68E3"/>
    <w:rsid w:val="003F6D86"/>
    <w:rsid w:val="003F6E57"/>
    <w:rsid w:val="003F7C7D"/>
    <w:rsid w:val="004031A0"/>
    <w:rsid w:val="0040671B"/>
    <w:rsid w:val="00406CEB"/>
    <w:rsid w:val="004109CB"/>
    <w:rsid w:val="00410E71"/>
    <w:rsid w:val="00412EC3"/>
    <w:rsid w:val="00415908"/>
    <w:rsid w:val="0042072A"/>
    <w:rsid w:val="00421F19"/>
    <w:rsid w:val="0042374F"/>
    <w:rsid w:val="00425B84"/>
    <w:rsid w:val="00427D94"/>
    <w:rsid w:val="00433F60"/>
    <w:rsid w:val="00440FF4"/>
    <w:rsid w:val="00442B8F"/>
    <w:rsid w:val="00445A3B"/>
    <w:rsid w:val="00451405"/>
    <w:rsid w:val="00464317"/>
    <w:rsid w:val="00467C6E"/>
    <w:rsid w:val="00471383"/>
    <w:rsid w:val="00473908"/>
    <w:rsid w:val="004741AE"/>
    <w:rsid w:val="00482A84"/>
    <w:rsid w:val="00483424"/>
    <w:rsid w:val="0049495A"/>
    <w:rsid w:val="0049745C"/>
    <w:rsid w:val="004A2665"/>
    <w:rsid w:val="004A377C"/>
    <w:rsid w:val="004A7908"/>
    <w:rsid w:val="004B039A"/>
    <w:rsid w:val="004B2A39"/>
    <w:rsid w:val="004B7239"/>
    <w:rsid w:val="004B79AC"/>
    <w:rsid w:val="004C0A99"/>
    <w:rsid w:val="004D1E1E"/>
    <w:rsid w:val="004D2125"/>
    <w:rsid w:val="004D2587"/>
    <w:rsid w:val="004D72EB"/>
    <w:rsid w:val="004E1058"/>
    <w:rsid w:val="004E7749"/>
    <w:rsid w:val="004F187B"/>
    <w:rsid w:val="004F43CE"/>
    <w:rsid w:val="004F4409"/>
    <w:rsid w:val="004F5484"/>
    <w:rsid w:val="004F7AF7"/>
    <w:rsid w:val="00505C4C"/>
    <w:rsid w:val="005073D2"/>
    <w:rsid w:val="00507B18"/>
    <w:rsid w:val="005111B3"/>
    <w:rsid w:val="00513AB1"/>
    <w:rsid w:val="00513D53"/>
    <w:rsid w:val="005155D5"/>
    <w:rsid w:val="0051571A"/>
    <w:rsid w:val="00522BF3"/>
    <w:rsid w:val="0052419E"/>
    <w:rsid w:val="00526899"/>
    <w:rsid w:val="00531315"/>
    <w:rsid w:val="0053295E"/>
    <w:rsid w:val="005330DD"/>
    <w:rsid w:val="005330F7"/>
    <w:rsid w:val="00533513"/>
    <w:rsid w:val="00536311"/>
    <w:rsid w:val="0053706C"/>
    <w:rsid w:val="00541A77"/>
    <w:rsid w:val="00544CD5"/>
    <w:rsid w:val="00545F7E"/>
    <w:rsid w:val="0054675C"/>
    <w:rsid w:val="005537F8"/>
    <w:rsid w:val="00560481"/>
    <w:rsid w:val="00563465"/>
    <w:rsid w:val="00567F0B"/>
    <w:rsid w:val="005716F2"/>
    <w:rsid w:val="00573CF1"/>
    <w:rsid w:val="00577C95"/>
    <w:rsid w:val="00581E34"/>
    <w:rsid w:val="0058231E"/>
    <w:rsid w:val="005824AB"/>
    <w:rsid w:val="00585896"/>
    <w:rsid w:val="005908BC"/>
    <w:rsid w:val="00592903"/>
    <w:rsid w:val="00592D1F"/>
    <w:rsid w:val="0059649F"/>
    <w:rsid w:val="005A323B"/>
    <w:rsid w:val="005A4531"/>
    <w:rsid w:val="005A747D"/>
    <w:rsid w:val="005B312D"/>
    <w:rsid w:val="005B3404"/>
    <w:rsid w:val="005C48BE"/>
    <w:rsid w:val="005C511E"/>
    <w:rsid w:val="005C6392"/>
    <w:rsid w:val="005C68FB"/>
    <w:rsid w:val="005C72FD"/>
    <w:rsid w:val="005D598D"/>
    <w:rsid w:val="005D66A2"/>
    <w:rsid w:val="005E3464"/>
    <w:rsid w:val="005E6726"/>
    <w:rsid w:val="005E70ED"/>
    <w:rsid w:val="005F0978"/>
    <w:rsid w:val="005F3453"/>
    <w:rsid w:val="005F3E7A"/>
    <w:rsid w:val="005F4F7A"/>
    <w:rsid w:val="005F7BD6"/>
    <w:rsid w:val="00600C27"/>
    <w:rsid w:val="00601925"/>
    <w:rsid w:val="00601D9A"/>
    <w:rsid w:val="00603257"/>
    <w:rsid w:val="00604E61"/>
    <w:rsid w:val="00607065"/>
    <w:rsid w:val="00612710"/>
    <w:rsid w:val="006143EC"/>
    <w:rsid w:val="006144F6"/>
    <w:rsid w:val="00614FB7"/>
    <w:rsid w:val="006225EE"/>
    <w:rsid w:val="00622AEA"/>
    <w:rsid w:val="006232FF"/>
    <w:rsid w:val="00624055"/>
    <w:rsid w:val="0062446A"/>
    <w:rsid w:val="00624741"/>
    <w:rsid w:val="006251E8"/>
    <w:rsid w:val="00625243"/>
    <w:rsid w:val="006260EB"/>
    <w:rsid w:val="00627F5B"/>
    <w:rsid w:val="0063535A"/>
    <w:rsid w:val="0064011C"/>
    <w:rsid w:val="00640401"/>
    <w:rsid w:val="00641DD3"/>
    <w:rsid w:val="0064277C"/>
    <w:rsid w:val="00643D0C"/>
    <w:rsid w:val="0064702B"/>
    <w:rsid w:val="00647EE5"/>
    <w:rsid w:val="00650274"/>
    <w:rsid w:val="00650923"/>
    <w:rsid w:val="00661623"/>
    <w:rsid w:val="00662674"/>
    <w:rsid w:val="00664566"/>
    <w:rsid w:val="00664CEA"/>
    <w:rsid w:val="0067073D"/>
    <w:rsid w:val="006824F8"/>
    <w:rsid w:val="0068363A"/>
    <w:rsid w:val="00683709"/>
    <w:rsid w:val="00684CFE"/>
    <w:rsid w:val="00685BFE"/>
    <w:rsid w:val="006861E6"/>
    <w:rsid w:val="006879B5"/>
    <w:rsid w:val="00696DD2"/>
    <w:rsid w:val="006970A0"/>
    <w:rsid w:val="006A08AC"/>
    <w:rsid w:val="006A1F23"/>
    <w:rsid w:val="006A3FCB"/>
    <w:rsid w:val="006A689A"/>
    <w:rsid w:val="006A715C"/>
    <w:rsid w:val="006D2EFC"/>
    <w:rsid w:val="006D3487"/>
    <w:rsid w:val="006D3692"/>
    <w:rsid w:val="006D6B61"/>
    <w:rsid w:val="006E528C"/>
    <w:rsid w:val="006E5DF2"/>
    <w:rsid w:val="006F1E5D"/>
    <w:rsid w:val="006F442C"/>
    <w:rsid w:val="006F4F72"/>
    <w:rsid w:val="00701341"/>
    <w:rsid w:val="00701900"/>
    <w:rsid w:val="00705CC5"/>
    <w:rsid w:val="00712EC5"/>
    <w:rsid w:val="00715417"/>
    <w:rsid w:val="00721025"/>
    <w:rsid w:val="007227F3"/>
    <w:rsid w:val="00724F64"/>
    <w:rsid w:val="007301AC"/>
    <w:rsid w:val="0073084B"/>
    <w:rsid w:val="007407C7"/>
    <w:rsid w:val="0074613F"/>
    <w:rsid w:val="0075202B"/>
    <w:rsid w:val="0075276B"/>
    <w:rsid w:val="007528DB"/>
    <w:rsid w:val="00757BBB"/>
    <w:rsid w:val="00765573"/>
    <w:rsid w:val="00770D50"/>
    <w:rsid w:val="007720D2"/>
    <w:rsid w:val="007778D2"/>
    <w:rsid w:val="00777EFA"/>
    <w:rsid w:val="0078199A"/>
    <w:rsid w:val="00783391"/>
    <w:rsid w:val="007879AD"/>
    <w:rsid w:val="0079005D"/>
    <w:rsid w:val="007933F7"/>
    <w:rsid w:val="00793FD3"/>
    <w:rsid w:val="007A14EF"/>
    <w:rsid w:val="007A24B8"/>
    <w:rsid w:val="007A5B4A"/>
    <w:rsid w:val="007B1E45"/>
    <w:rsid w:val="007B69E7"/>
    <w:rsid w:val="007B75EF"/>
    <w:rsid w:val="007C38BA"/>
    <w:rsid w:val="007C3E87"/>
    <w:rsid w:val="007D0E96"/>
    <w:rsid w:val="007D34F2"/>
    <w:rsid w:val="007D4453"/>
    <w:rsid w:val="007D47C1"/>
    <w:rsid w:val="007D5417"/>
    <w:rsid w:val="007D699F"/>
    <w:rsid w:val="007E1FBB"/>
    <w:rsid w:val="007E2A3A"/>
    <w:rsid w:val="007E77F7"/>
    <w:rsid w:val="007E7C08"/>
    <w:rsid w:val="007F112D"/>
    <w:rsid w:val="007F1A12"/>
    <w:rsid w:val="007F23CD"/>
    <w:rsid w:val="007F40D0"/>
    <w:rsid w:val="00802503"/>
    <w:rsid w:val="0080684A"/>
    <w:rsid w:val="00807AFC"/>
    <w:rsid w:val="008139B7"/>
    <w:rsid w:val="00815D6E"/>
    <w:rsid w:val="008167AE"/>
    <w:rsid w:val="0082077D"/>
    <w:rsid w:val="00820BFF"/>
    <w:rsid w:val="00825821"/>
    <w:rsid w:val="00827AA5"/>
    <w:rsid w:val="00827FE2"/>
    <w:rsid w:val="0083131C"/>
    <w:rsid w:val="00831450"/>
    <w:rsid w:val="00832DAC"/>
    <w:rsid w:val="008350CB"/>
    <w:rsid w:val="00843B38"/>
    <w:rsid w:val="00846F31"/>
    <w:rsid w:val="008503F5"/>
    <w:rsid w:val="00854B0E"/>
    <w:rsid w:val="008610C2"/>
    <w:rsid w:val="0087255B"/>
    <w:rsid w:val="00876778"/>
    <w:rsid w:val="008803CD"/>
    <w:rsid w:val="00881FA3"/>
    <w:rsid w:val="00883C27"/>
    <w:rsid w:val="00884CBD"/>
    <w:rsid w:val="00892CE9"/>
    <w:rsid w:val="00893A3A"/>
    <w:rsid w:val="0089760E"/>
    <w:rsid w:val="008A76E1"/>
    <w:rsid w:val="008B2450"/>
    <w:rsid w:val="008B5152"/>
    <w:rsid w:val="008B6ABC"/>
    <w:rsid w:val="008B6D2D"/>
    <w:rsid w:val="008B74C3"/>
    <w:rsid w:val="008C0F5E"/>
    <w:rsid w:val="008C43FB"/>
    <w:rsid w:val="008C451F"/>
    <w:rsid w:val="008C46A6"/>
    <w:rsid w:val="008C6263"/>
    <w:rsid w:val="008C6998"/>
    <w:rsid w:val="008D2CC9"/>
    <w:rsid w:val="008D6B5E"/>
    <w:rsid w:val="008D7902"/>
    <w:rsid w:val="008E1409"/>
    <w:rsid w:val="008E496C"/>
    <w:rsid w:val="008E6512"/>
    <w:rsid w:val="008F66AC"/>
    <w:rsid w:val="00900C2B"/>
    <w:rsid w:val="00902A80"/>
    <w:rsid w:val="00903208"/>
    <w:rsid w:val="009063EC"/>
    <w:rsid w:val="00915D9F"/>
    <w:rsid w:val="00916B56"/>
    <w:rsid w:val="0092263B"/>
    <w:rsid w:val="00923045"/>
    <w:rsid w:val="00927D22"/>
    <w:rsid w:val="0093038E"/>
    <w:rsid w:val="00931EF6"/>
    <w:rsid w:val="00932590"/>
    <w:rsid w:val="00934354"/>
    <w:rsid w:val="009365D0"/>
    <w:rsid w:val="00940168"/>
    <w:rsid w:val="00942F24"/>
    <w:rsid w:val="00943134"/>
    <w:rsid w:val="0094671B"/>
    <w:rsid w:val="00963EB8"/>
    <w:rsid w:val="00972302"/>
    <w:rsid w:val="00973380"/>
    <w:rsid w:val="00973F77"/>
    <w:rsid w:val="00975F69"/>
    <w:rsid w:val="00976D66"/>
    <w:rsid w:val="009877D2"/>
    <w:rsid w:val="00990130"/>
    <w:rsid w:val="00990BC8"/>
    <w:rsid w:val="00991A12"/>
    <w:rsid w:val="0099326F"/>
    <w:rsid w:val="009A0174"/>
    <w:rsid w:val="009A1E80"/>
    <w:rsid w:val="009A23FE"/>
    <w:rsid w:val="009A2530"/>
    <w:rsid w:val="009A447B"/>
    <w:rsid w:val="009A57FE"/>
    <w:rsid w:val="009A7453"/>
    <w:rsid w:val="009C5D88"/>
    <w:rsid w:val="009C5DAA"/>
    <w:rsid w:val="009C7761"/>
    <w:rsid w:val="009E1580"/>
    <w:rsid w:val="009E1A11"/>
    <w:rsid w:val="009E1BAD"/>
    <w:rsid w:val="009E4E54"/>
    <w:rsid w:val="009F17AE"/>
    <w:rsid w:val="009F7856"/>
    <w:rsid w:val="00A017C3"/>
    <w:rsid w:val="00A020EF"/>
    <w:rsid w:val="00A0344C"/>
    <w:rsid w:val="00A04D2C"/>
    <w:rsid w:val="00A0638C"/>
    <w:rsid w:val="00A114E7"/>
    <w:rsid w:val="00A1343E"/>
    <w:rsid w:val="00A16E82"/>
    <w:rsid w:val="00A17DFC"/>
    <w:rsid w:val="00A2276B"/>
    <w:rsid w:val="00A2453F"/>
    <w:rsid w:val="00A24C6D"/>
    <w:rsid w:val="00A25D07"/>
    <w:rsid w:val="00A32B35"/>
    <w:rsid w:val="00A338A2"/>
    <w:rsid w:val="00A34675"/>
    <w:rsid w:val="00A37074"/>
    <w:rsid w:val="00A466A2"/>
    <w:rsid w:val="00A513D4"/>
    <w:rsid w:val="00A519BB"/>
    <w:rsid w:val="00A526D7"/>
    <w:rsid w:val="00A52C7D"/>
    <w:rsid w:val="00A542D6"/>
    <w:rsid w:val="00A55AC3"/>
    <w:rsid w:val="00A573EF"/>
    <w:rsid w:val="00A61B8C"/>
    <w:rsid w:val="00A650E3"/>
    <w:rsid w:val="00A657B9"/>
    <w:rsid w:val="00A66A93"/>
    <w:rsid w:val="00A67041"/>
    <w:rsid w:val="00A7360F"/>
    <w:rsid w:val="00A74A8A"/>
    <w:rsid w:val="00A74BFC"/>
    <w:rsid w:val="00A7720B"/>
    <w:rsid w:val="00A77303"/>
    <w:rsid w:val="00A81761"/>
    <w:rsid w:val="00A81F8E"/>
    <w:rsid w:val="00A85B4C"/>
    <w:rsid w:val="00A87055"/>
    <w:rsid w:val="00A97485"/>
    <w:rsid w:val="00AA0A7F"/>
    <w:rsid w:val="00AA4146"/>
    <w:rsid w:val="00AA58B4"/>
    <w:rsid w:val="00AA5A23"/>
    <w:rsid w:val="00AA7065"/>
    <w:rsid w:val="00AB2CD5"/>
    <w:rsid w:val="00AB3D8E"/>
    <w:rsid w:val="00AC00AE"/>
    <w:rsid w:val="00AC1689"/>
    <w:rsid w:val="00AC3B28"/>
    <w:rsid w:val="00AC665C"/>
    <w:rsid w:val="00AD090F"/>
    <w:rsid w:val="00AD3DE5"/>
    <w:rsid w:val="00AD5726"/>
    <w:rsid w:val="00AD7156"/>
    <w:rsid w:val="00AE103E"/>
    <w:rsid w:val="00AE1141"/>
    <w:rsid w:val="00AE45EA"/>
    <w:rsid w:val="00AE50AA"/>
    <w:rsid w:val="00AF35AF"/>
    <w:rsid w:val="00AF35C7"/>
    <w:rsid w:val="00AF3910"/>
    <w:rsid w:val="00AF5A34"/>
    <w:rsid w:val="00AF637B"/>
    <w:rsid w:val="00AF68DF"/>
    <w:rsid w:val="00B027F4"/>
    <w:rsid w:val="00B04517"/>
    <w:rsid w:val="00B064F6"/>
    <w:rsid w:val="00B1272F"/>
    <w:rsid w:val="00B14B0F"/>
    <w:rsid w:val="00B15F63"/>
    <w:rsid w:val="00B24AE3"/>
    <w:rsid w:val="00B27D60"/>
    <w:rsid w:val="00B31451"/>
    <w:rsid w:val="00B320C7"/>
    <w:rsid w:val="00B342AF"/>
    <w:rsid w:val="00B35560"/>
    <w:rsid w:val="00B36867"/>
    <w:rsid w:val="00B4151B"/>
    <w:rsid w:val="00B43DBA"/>
    <w:rsid w:val="00B444A6"/>
    <w:rsid w:val="00B44A67"/>
    <w:rsid w:val="00B450B4"/>
    <w:rsid w:val="00B47840"/>
    <w:rsid w:val="00B50295"/>
    <w:rsid w:val="00B53565"/>
    <w:rsid w:val="00B53BB7"/>
    <w:rsid w:val="00B54F4C"/>
    <w:rsid w:val="00B56C5E"/>
    <w:rsid w:val="00B56ED4"/>
    <w:rsid w:val="00B636BD"/>
    <w:rsid w:val="00B6388E"/>
    <w:rsid w:val="00B64044"/>
    <w:rsid w:val="00B66271"/>
    <w:rsid w:val="00B71863"/>
    <w:rsid w:val="00B73CFF"/>
    <w:rsid w:val="00B801AF"/>
    <w:rsid w:val="00B81607"/>
    <w:rsid w:val="00B83EA1"/>
    <w:rsid w:val="00B86511"/>
    <w:rsid w:val="00B877E7"/>
    <w:rsid w:val="00B9044F"/>
    <w:rsid w:val="00B91A03"/>
    <w:rsid w:val="00B936C3"/>
    <w:rsid w:val="00B94315"/>
    <w:rsid w:val="00BA0228"/>
    <w:rsid w:val="00BA4002"/>
    <w:rsid w:val="00BA4BE6"/>
    <w:rsid w:val="00BB16D3"/>
    <w:rsid w:val="00BB2488"/>
    <w:rsid w:val="00BB661A"/>
    <w:rsid w:val="00BC00D9"/>
    <w:rsid w:val="00BC4DAB"/>
    <w:rsid w:val="00BC64C5"/>
    <w:rsid w:val="00BC6BEB"/>
    <w:rsid w:val="00BD2376"/>
    <w:rsid w:val="00BE0B80"/>
    <w:rsid w:val="00BE32AD"/>
    <w:rsid w:val="00BE347D"/>
    <w:rsid w:val="00BE561A"/>
    <w:rsid w:val="00BF13DC"/>
    <w:rsid w:val="00BF188E"/>
    <w:rsid w:val="00BF1A63"/>
    <w:rsid w:val="00BF4282"/>
    <w:rsid w:val="00C005AF"/>
    <w:rsid w:val="00C0511E"/>
    <w:rsid w:val="00C05524"/>
    <w:rsid w:val="00C0796F"/>
    <w:rsid w:val="00C13FB2"/>
    <w:rsid w:val="00C16527"/>
    <w:rsid w:val="00C200EC"/>
    <w:rsid w:val="00C34122"/>
    <w:rsid w:val="00C40317"/>
    <w:rsid w:val="00C42001"/>
    <w:rsid w:val="00C43A15"/>
    <w:rsid w:val="00C44C28"/>
    <w:rsid w:val="00C476DB"/>
    <w:rsid w:val="00C53CFC"/>
    <w:rsid w:val="00C545B5"/>
    <w:rsid w:val="00C6497F"/>
    <w:rsid w:val="00C745E9"/>
    <w:rsid w:val="00C90943"/>
    <w:rsid w:val="00C9294A"/>
    <w:rsid w:val="00CA3DE8"/>
    <w:rsid w:val="00CA7D65"/>
    <w:rsid w:val="00CB0723"/>
    <w:rsid w:val="00CB2FA9"/>
    <w:rsid w:val="00CB5A30"/>
    <w:rsid w:val="00CC044B"/>
    <w:rsid w:val="00CC0BF6"/>
    <w:rsid w:val="00CC578F"/>
    <w:rsid w:val="00CD40C7"/>
    <w:rsid w:val="00CD46F6"/>
    <w:rsid w:val="00CD4BA6"/>
    <w:rsid w:val="00CE25CC"/>
    <w:rsid w:val="00CE2962"/>
    <w:rsid w:val="00CE3D06"/>
    <w:rsid w:val="00CF1AEB"/>
    <w:rsid w:val="00CF2B99"/>
    <w:rsid w:val="00CF7898"/>
    <w:rsid w:val="00D03ADD"/>
    <w:rsid w:val="00D04AFE"/>
    <w:rsid w:val="00D13E6F"/>
    <w:rsid w:val="00D1484E"/>
    <w:rsid w:val="00D175E7"/>
    <w:rsid w:val="00D21970"/>
    <w:rsid w:val="00D220A7"/>
    <w:rsid w:val="00D22997"/>
    <w:rsid w:val="00D23D98"/>
    <w:rsid w:val="00D25FD0"/>
    <w:rsid w:val="00D27A37"/>
    <w:rsid w:val="00D3014F"/>
    <w:rsid w:val="00D3128C"/>
    <w:rsid w:val="00D33801"/>
    <w:rsid w:val="00D405CC"/>
    <w:rsid w:val="00D415E7"/>
    <w:rsid w:val="00D419C7"/>
    <w:rsid w:val="00D42694"/>
    <w:rsid w:val="00D43D42"/>
    <w:rsid w:val="00D4536C"/>
    <w:rsid w:val="00D466DD"/>
    <w:rsid w:val="00D470D0"/>
    <w:rsid w:val="00D47867"/>
    <w:rsid w:val="00D53A44"/>
    <w:rsid w:val="00D55FBD"/>
    <w:rsid w:val="00D575BA"/>
    <w:rsid w:val="00D608B9"/>
    <w:rsid w:val="00D63F35"/>
    <w:rsid w:val="00D72B2D"/>
    <w:rsid w:val="00D77A11"/>
    <w:rsid w:val="00D819D0"/>
    <w:rsid w:val="00D84A59"/>
    <w:rsid w:val="00D86160"/>
    <w:rsid w:val="00D90658"/>
    <w:rsid w:val="00D90E6B"/>
    <w:rsid w:val="00D912ED"/>
    <w:rsid w:val="00D92C9E"/>
    <w:rsid w:val="00D93D1F"/>
    <w:rsid w:val="00D940CA"/>
    <w:rsid w:val="00D96E1A"/>
    <w:rsid w:val="00DA0225"/>
    <w:rsid w:val="00DA5CF4"/>
    <w:rsid w:val="00DA6825"/>
    <w:rsid w:val="00DA74AC"/>
    <w:rsid w:val="00DB2D6B"/>
    <w:rsid w:val="00DB4246"/>
    <w:rsid w:val="00DB603F"/>
    <w:rsid w:val="00DC2814"/>
    <w:rsid w:val="00DC4753"/>
    <w:rsid w:val="00DC6369"/>
    <w:rsid w:val="00DC74C0"/>
    <w:rsid w:val="00DD6123"/>
    <w:rsid w:val="00DE014E"/>
    <w:rsid w:val="00DE12C9"/>
    <w:rsid w:val="00DE32C2"/>
    <w:rsid w:val="00DE41B1"/>
    <w:rsid w:val="00DE43B8"/>
    <w:rsid w:val="00DF01AB"/>
    <w:rsid w:val="00DF065F"/>
    <w:rsid w:val="00DF07A1"/>
    <w:rsid w:val="00DF131B"/>
    <w:rsid w:val="00DF2F4F"/>
    <w:rsid w:val="00E04A35"/>
    <w:rsid w:val="00E059CF"/>
    <w:rsid w:val="00E07589"/>
    <w:rsid w:val="00E07CDF"/>
    <w:rsid w:val="00E11AA6"/>
    <w:rsid w:val="00E20969"/>
    <w:rsid w:val="00E22861"/>
    <w:rsid w:val="00E2358A"/>
    <w:rsid w:val="00E24A88"/>
    <w:rsid w:val="00E3011C"/>
    <w:rsid w:val="00E31C30"/>
    <w:rsid w:val="00E35833"/>
    <w:rsid w:val="00E41038"/>
    <w:rsid w:val="00E41927"/>
    <w:rsid w:val="00E43086"/>
    <w:rsid w:val="00E54FFB"/>
    <w:rsid w:val="00E553E5"/>
    <w:rsid w:val="00E55B32"/>
    <w:rsid w:val="00E57406"/>
    <w:rsid w:val="00E60C45"/>
    <w:rsid w:val="00E62259"/>
    <w:rsid w:val="00E6244A"/>
    <w:rsid w:val="00E64342"/>
    <w:rsid w:val="00E645DC"/>
    <w:rsid w:val="00E66C21"/>
    <w:rsid w:val="00E706AF"/>
    <w:rsid w:val="00E70F9A"/>
    <w:rsid w:val="00E725FE"/>
    <w:rsid w:val="00E73E0A"/>
    <w:rsid w:val="00E752F5"/>
    <w:rsid w:val="00E75A95"/>
    <w:rsid w:val="00E770A1"/>
    <w:rsid w:val="00E85CEB"/>
    <w:rsid w:val="00E94249"/>
    <w:rsid w:val="00E94D8A"/>
    <w:rsid w:val="00E97A40"/>
    <w:rsid w:val="00EA30C0"/>
    <w:rsid w:val="00EA3B02"/>
    <w:rsid w:val="00EA43C6"/>
    <w:rsid w:val="00EB2207"/>
    <w:rsid w:val="00EB2E8A"/>
    <w:rsid w:val="00EC03D8"/>
    <w:rsid w:val="00EC0525"/>
    <w:rsid w:val="00EC42B2"/>
    <w:rsid w:val="00EC4CC2"/>
    <w:rsid w:val="00ED7706"/>
    <w:rsid w:val="00EE34E7"/>
    <w:rsid w:val="00EE5176"/>
    <w:rsid w:val="00EF1857"/>
    <w:rsid w:val="00EF2373"/>
    <w:rsid w:val="00EF3337"/>
    <w:rsid w:val="00EF40E1"/>
    <w:rsid w:val="00EF4407"/>
    <w:rsid w:val="00EF7378"/>
    <w:rsid w:val="00EF737C"/>
    <w:rsid w:val="00F0201D"/>
    <w:rsid w:val="00F046CB"/>
    <w:rsid w:val="00F072B8"/>
    <w:rsid w:val="00F1040B"/>
    <w:rsid w:val="00F116DE"/>
    <w:rsid w:val="00F13A53"/>
    <w:rsid w:val="00F148F2"/>
    <w:rsid w:val="00F1603B"/>
    <w:rsid w:val="00F16BCC"/>
    <w:rsid w:val="00F23553"/>
    <w:rsid w:val="00F33D88"/>
    <w:rsid w:val="00F34477"/>
    <w:rsid w:val="00F36780"/>
    <w:rsid w:val="00F41E3E"/>
    <w:rsid w:val="00F426F1"/>
    <w:rsid w:val="00F519FF"/>
    <w:rsid w:val="00F63374"/>
    <w:rsid w:val="00F7185A"/>
    <w:rsid w:val="00F75D46"/>
    <w:rsid w:val="00F91611"/>
    <w:rsid w:val="00F934BE"/>
    <w:rsid w:val="00F95ECB"/>
    <w:rsid w:val="00FA0000"/>
    <w:rsid w:val="00FA39A7"/>
    <w:rsid w:val="00FA4111"/>
    <w:rsid w:val="00FA58DD"/>
    <w:rsid w:val="00FA6C8F"/>
    <w:rsid w:val="00FB4EB4"/>
    <w:rsid w:val="00FB53B8"/>
    <w:rsid w:val="00FB7E1E"/>
    <w:rsid w:val="00FC1462"/>
    <w:rsid w:val="00FC1501"/>
    <w:rsid w:val="00FD770E"/>
    <w:rsid w:val="00FE08C1"/>
    <w:rsid w:val="00FE46E6"/>
    <w:rsid w:val="00FE6F48"/>
    <w:rsid w:val="00FE73EA"/>
    <w:rsid w:val="00FF1AF9"/>
    <w:rsid w:val="00FF1C2C"/>
    <w:rsid w:val="00FF1C48"/>
    <w:rsid w:val="00FF2E0B"/>
    <w:rsid w:val="00FF749A"/>
    <w:rsid w:val="792B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5"/>
    <w:semiHidden/>
    <w:unhideWhenUsed/>
    <w:uiPriority w:val="99"/>
    <w:rPr>
      <w:sz w:val="18"/>
      <w:szCs w:val="18"/>
    </w:rPr>
  </w:style>
  <w:style w:type="paragraph" w:styleId="4">
    <w:name w:val="footer"/>
    <w:basedOn w:val="1"/>
    <w:link w:val="27"/>
    <w:unhideWhenUsed/>
    <w:uiPriority w:val="99"/>
    <w:pPr>
      <w:tabs>
        <w:tab w:val="center" w:pos="4153"/>
        <w:tab w:val="right" w:pos="8306"/>
      </w:tabs>
      <w:snapToGrid w:val="0"/>
      <w:jc w:val="left"/>
    </w:pPr>
    <w:rPr>
      <w:sz w:val="18"/>
      <w:szCs w:val="18"/>
    </w:rPr>
  </w:style>
  <w:style w:type="paragraph" w:styleId="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00"/>
      <w:u w:val="none"/>
    </w:rPr>
  </w:style>
  <w:style w:type="character" w:customStyle="1" w:styleId="13">
    <w:name w:val="标题 3 Char"/>
    <w:basedOn w:val="9"/>
    <w:link w:val="2"/>
    <w:uiPriority w:val="9"/>
    <w:rPr>
      <w:rFonts w:ascii="宋体" w:hAnsi="宋体" w:eastAsia="宋体" w:cs="宋体"/>
      <w:b/>
      <w:bCs/>
      <w:kern w:val="0"/>
      <w:sz w:val="27"/>
      <w:szCs w:val="27"/>
    </w:rPr>
  </w:style>
  <w:style w:type="paragraph" w:customStyle="1" w:styleId="14">
    <w:name w:val="titdd-article2"/>
    <w:basedOn w:val="1"/>
    <w:uiPriority w:val="0"/>
    <w:pPr>
      <w:widowControl/>
      <w:shd w:val="clear" w:color="auto" w:fill="F3F3F3"/>
      <w:spacing w:after="435" w:line="420" w:lineRule="atLeast"/>
      <w:jc w:val="left"/>
    </w:pPr>
    <w:rPr>
      <w:rFonts w:ascii="宋体" w:hAnsi="宋体" w:cs="宋体"/>
      <w:kern w:val="0"/>
      <w:szCs w:val="21"/>
    </w:rPr>
  </w:style>
  <w:style w:type="paragraph" w:customStyle="1" w:styleId="15">
    <w:name w:val="HTML Top of Form"/>
    <w:basedOn w:val="1"/>
    <w:next w:val="1"/>
    <w:link w:val="16"/>
    <w:semiHidden/>
    <w:unhideWhenUsed/>
    <w:uiPriority w:val="99"/>
    <w:pPr>
      <w:widowControl/>
      <w:pBdr>
        <w:bottom w:val="single" w:color="auto" w:sz="6" w:space="1"/>
      </w:pBdr>
      <w:jc w:val="center"/>
    </w:pPr>
    <w:rPr>
      <w:rFonts w:ascii="Arial" w:hAnsi="Arial" w:cs="Arial"/>
      <w:vanish/>
      <w:kern w:val="0"/>
      <w:sz w:val="16"/>
      <w:szCs w:val="16"/>
    </w:rPr>
  </w:style>
  <w:style w:type="character" w:customStyle="1" w:styleId="16">
    <w:name w:val="z-窗体顶端 Char"/>
    <w:basedOn w:val="9"/>
    <w:link w:val="15"/>
    <w:semiHidden/>
    <w:uiPriority w:val="99"/>
    <w:rPr>
      <w:rFonts w:ascii="Arial" w:hAnsi="Arial" w:eastAsia="宋体" w:cs="Arial"/>
      <w:vanish/>
      <w:kern w:val="0"/>
      <w:sz w:val="16"/>
      <w:szCs w:val="16"/>
    </w:rPr>
  </w:style>
  <w:style w:type="paragraph" w:customStyle="1" w:styleId="17">
    <w:name w:val="HTML Bottom of Form"/>
    <w:basedOn w:val="1"/>
    <w:next w:val="1"/>
    <w:link w:val="1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8">
    <w:name w:val="z-窗体底端 Char"/>
    <w:basedOn w:val="9"/>
    <w:link w:val="17"/>
    <w:semiHidden/>
    <w:qFormat/>
    <w:uiPriority w:val="99"/>
    <w:rPr>
      <w:rFonts w:ascii="Arial" w:hAnsi="Arial" w:eastAsia="宋体" w:cs="Arial"/>
      <w:vanish/>
      <w:kern w:val="0"/>
      <w:sz w:val="16"/>
      <w:szCs w:val="16"/>
    </w:rPr>
  </w:style>
  <w:style w:type="character" w:customStyle="1" w:styleId="19">
    <w:name w:val="color-a-01"/>
    <w:basedOn w:val="9"/>
    <w:qFormat/>
    <w:uiPriority w:val="0"/>
  </w:style>
  <w:style w:type="character" w:customStyle="1" w:styleId="20">
    <w:name w:val="color-a-1"/>
    <w:basedOn w:val="9"/>
    <w:uiPriority w:val="0"/>
  </w:style>
  <w:style w:type="character" w:customStyle="1" w:styleId="21">
    <w:name w:val="infomblog"/>
    <w:basedOn w:val="9"/>
    <w:qFormat/>
    <w:uiPriority w:val="0"/>
  </w:style>
  <w:style w:type="character" w:customStyle="1" w:styleId="22">
    <w:name w:val="color-a-3"/>
    <w:basedOn w:val="9"/>
    <w:qFormat/>
    <w:uiPriority w:val="0"/>
  </w:style>
  <w:style w:type="character" w:customStyle="1" w:styleId="23">
    <w:name w:val="article-time1"/>
    <w:basedOn w:val="9"/>
    <w:uiPriority w:val="0"/>
  </w:style>
  <w:style w:type="character" w:customStyle="1" w:styleId="24">
    <w:name w:val="r"/>
    <w:basedOn w:val="9"/>
    <w:qFormat/>
    <w:uiPriority w:val="0"/>
  </w:style>
  <w:style w:type="character" w:customStyle="1" w:styleId="25">
    <w:name w:val="批注框文本 Char"/>
    <w:basedOn w:val="9"/>
    <w:link w:val="3"/>
    <w:semiHidden/>
    <w:uiPriority w:val="99"/>
    <w:rPr>
      <w:rFonts w:ascii="Calibri" w:hAnsi="Calibri" w:eastAsia="宋体" w:cs="Times New Roman"/>
      <w:sz w:val="18"/>
      <w:szCs w:val="18"/>
    </w:rPr>
  </w:style>
  <w:style w:type="character" w:customStyle="1" w:styleId="26">
    <w:name w:val="页眉 Char"/>
    <w:basedOn w:val="9"/>
    <w:link w:val="5"/>
    <w:qFormat/>
    <w:uiPriority w:val="99"/>
    <w:rPr>
      <w:rFonts w:ascii="Calibri" w:hAnsi="Calibri" w:eastAsia="宋体" w:cs="Times New Roman"/>
      <w:sz w:val="18"/>
      <w:szCs w:val="18"/>
    </w:rPr>
  </w:style>
  <w:style w:type="character" w:customStyle="1" w:styleId="27">
    <w:name w:val="页脚 Char"/>
    <w:basedOn w:val="9"/>
    <w:link w:val="4"/>
    <w:qFormat/>
    <w:uiPriority w:val="99"/>
    <w:rPr>
      <w:rFonts w:ascii="Calibri" w:hAnsi="Calibri" w:eastAsia="宋体" w:cs="Times New Roman"/>
      <w:sz w:val="18"/>
      <w:szCs w:val="18"/>
    </w:rPr>
  </w:style>
  <w:style w:type="character" w:customStyle="1" w:styleId="28">
    <w:name w:val="apple-converted-space"/>
    <w:basedOn w:val="9"/>
    <w:qFormat/>
    <w:uiPriority w:val="0"/>
  </w:style>
  <w:style w:type="paragraph" w:styleId="29">
    <w:name w:val="List Paragraph"/>
    <w:basedOn w:val="1"/>
    <w:qFormat/>
    <w:uiPriority w:val="34"/>
    <w:pPr>
      <w:ind w:firstLine="420" w:firstLineChars="200"/>
    </w:pPr>
  </w:style>
  <w:style w:type="character" w:customStyle="1" w:styleId="30">
    <w:name w:val="wp_keywordlink_affiliat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EB189-B83A-4FA3-BCB9-E1041E54AFA4}">
  <ds:schemaRefs/>
</ds:datastoreItem>
</file>

<file path=docProps/app.xml><?xml version="1.0" encoding="utf-8"?>
<Properties xmlns="http://schemas.openxmlformats.org/officeDocument/2006/extended-properties" xmlns:vt="http://schemas.openxmlformats.org/officeDocument/2006/docPropsVTypes">
  <Template>Normal</Template>
  <Pages>16</Pages>
  <Words>2656</Words>
  <Characters>15143</Characters>
  <Lines>126</Lines>
  <Paragraphs>35</Paragraphs>
  <TotalTime>6</TotalTime>
  <ScaleCrop>false</ScaleCrop>
  <LinksUpToDate>false</LinksUpToDate>
  <CharactersWithSpaces>17764</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2016-05-09T07:54:00Z</dcterms:created>
  <dc:creator>赵国绵</dc:creator>
  <cp:lastModifiedBy>Administrator</cp:lastModifiedBy>
  <cp:lastPrinted>2016-04-28T07:19:00Z</cp:lastPrinted>
  <dcterms:modified xsi:type="dcterms:W3CDTF">2019-05-25T07:45:00Z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